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85E3D">
      <w:pPr>
        <w:rPr>
          <w:rStyle w:val="205"/>
        </w:rPr>
      </w:pPr>
    </w:p>
    <w:p w14:paraId="63C6DA85">
      <w:pPr>
        <w:rPr>
          <w:rFonts w:ascii="Arial" w:hAnsi="Arial" w:cs="Arial"/>
          <w:sz w:val="36"/>
        </w:rPr>
      </w:pPr>
    </w:p>
    <w:p w14:paraId="676C08D7">
      <w:pPr>
        <w:rPr>
          <w:rFonts w:ascii="Arial" w:hAnsi="Arial" w:cs="Arial"/>
          <w:sz w:val="36"/>
        </w:rPr>
      </w:pPr>
    </w:p>
    <w:p w14:paraId="6CADF650">
      <w:pPr>
        <w:jc w:val="center"/>
        <w:rPr>
          <w:rFonts w:ascii="Arial" w:hAnsi="Arial" w:cs="Arial"/>
        </w:rPr>
      </w:pPr>
    </w:p>
    <w:p w14:paraId="65AB3101">
      <w:pPr>
        <w:jc w:val="center"/>
        <w:rPr>
          <w:rFonts w:ascii="黑体" w:hAnsi="黑体" w:eastAsia="黑体"/>
          <w:b/>
          <w:spacing w:val="40"/>
          <w:sz w:val="90"/>
          <w:szCs w:val="96"/>
        </w:rPr>
      </w:pPr>
      <w:r>
        <w:rPr>
          <w:rFonts w:ascii="黑体" w:hAnsi="黑体" w:eastAsia="黑体"/>
          <w:b/>
          <w:spacing w:val="40"/>
          <w:sz w:val="90"/>
          <w:szCs w:val="96"/>
        </w:rPr>
        <w:t>招 标 文 件</w:t>
      </w:r>
    </w:p>
    <w:p w14:paraId="7FAD6CB1">
      <w:pPr>
        <w:jc w:val="center"/>
        <w:rPr>
          <w:rFonts w:ascii="黑体" w:hAnsi="黑体" w:eastAsia="黑体"/>
          <w:b/>
          <w:spacing w:val="40"/>
          <w:sz w:val="90"/>
          <w:szCs w:val="96"/>
        </w:rPr>
      </w:pPr>
    </w:p>
    <w:p w14:paraId="4437E3BE">
      <w:pPr>
        <w:jc w:val="center"/>
        <w:rPr>
          <w:rFonts w:hint="eastAsia" w:ascii="黑体" w:hAnsi="黑体" w:eastAsia="黑体"/>
          <w:b/>
          <w:spacing w:val="40"/>
          <w:sz w:val="90"/>
          <w:szCs w:val="96"/>
        </w:rPr>
      </w:pPr>
    </w:p>
    <w:p w14:paraId="588D77E8">
      <w:pPr>
        <w:jc w:val="center"/>
        <w:rPr>
          <w:rFonts w:hint="eastAsia" w:ascii="黑体" w:hAnsi="黑体" w:eastAsia="黑体" w:cs="Arial"/>
          <w:b/>
          <w:sz w:val="32"/>
          <w:lang w:eastAsia="zh-CN"/>
        </w:rPr>
      </w:pPr>
      <w:r>
        <w:rPr>
          <w:rFonts w:hint="eastAsia" w:ascii="黑体" w:hAnsi="黑体" w:eastAsia="黑体" w:cs="Arial"/>
          <w:b/>
          <w:sz w:val="32"/>
        </w:rPr>
        <w:t>项目</w:t>
      </w:r>
      <w:r>
        <w:rPr>
          <w:rFonts w:ascii="黑体" w:hAnsi="黑体" w:eastAsia="黑体" w:cs="Arial"/>
          <w:b/>
          <w:sz w:val="32"/>
        </w:rPr>
        <w:t>编号：</w:t>
      </w:r>
      <w:r>
        <w:rPr>
          <w:rFonts w:hint="eastAsia" w:ascii="黑体" w:hAnsi="黑体" w:eastAsia="黑体" w:cs="Arial"/>
          <w:b/>
          <w:sz w:val="32"/>
          <w:lang w:eastAsia="zh-CN"/>
        </w:rPr>
        <w:t>SZC-320000-CCTC-G2026-0003</w:t>
      </w:r>
    </w:p>
    <w:p w14:paraId="48BD96B8">
      <w:pPr>
        <w:jc w:val="center"/>
        <w:rPr>
          <w:rFonts w:ascii="黑体" w:hAnsi="黑体" w:eastAsia="黑体" w:cs="Arial"/>
          <w:b/>
          <w:sz w:val="32"/>
        </w:rPr>
      </w:pPr>
      <w:r>
        <w:rPr>
          <w:rFonts w:hint="eastAsia" w:ascii="黑体" w:hAnsi="黑体" w:eastAsia="黑体" w:cs="Arial"/>
          <w:b/>
          <w:sz w:val="32"/>
          <w:lang w:val="en-US" w:eastAsia="zh-CN"/>
        </w:rPr>
        <w:t xml:space="preserve">         </w:t>
      </w:r>
      <w:r>
        <w:rPr>
          <w:rFonts w:hint="eastAsia" w:ascii="黑体" w:hAnsi="黑体" w:eastAsia="黑体" w:cs="Arial"/>
          <w:b/>
          <w:sz w:val="32"/>
        </w:rPr>
        <w:t>项目名称：</w:t>
      </w:r>
      <w:r>
        <w:rPr>
          <w:rFonts w:hint="eastAsia" w:ascii="黑体" w:hAnsi="黑体" w:eastAsia="黑体" w:cs="Arial"/>
          <w:b/>
          <w:sz w:val="32"/>
          <w:lang w:val="en-US" w:eastAsia="zh-CN"/>
        </w:rPr>
        <w:t>江苏第二师范学院草场门校区卫生所医疗卫生服务托管</w:t>
      </w:r>
    </w:p>
    <w:p w14:paraId="678B063C">
      <w:pPr>
        <w:jc w:val="center"/>
        <w:rPr>
          <w:rFonts w:ascii="Arial" w:hAnsi="Arial" w:cs="Arial"/>
          <w:sz w:val="32"/>
        </w:rPr>
      </w:pPr>
    </w:p>
    <w:p w14:paraId="19D95228">
      <w:pPr>
        <w:jc w:val="center"/>
        <w:rPr>
          <w:rFonts w:ascii="Arial" w:hAnsi="Arial" w:cs="Arial"/>
          <w:sz w:val="28"/>
        </w:rPr>
      </w:pPr>
    </w:p>
    <w:p w14:paraId="301464BC">
      <w:pPr>
        <w:jc w:val="center"/>
        <w:rPr>
          <w:rFonts w:ascii="Arial" w:hAnsi="Arial" w:cs="Arial"/>
          <w:sz w:val="28"/>
        </w:rPr>
      </w:pPr>
    </w:p>
    <w:p w14:paraId="2E544396">
      <w:pPr>
        <w:jc w:val="center"/>
        <w:rPr>
          <w:rFonts w:ascii="Arial" w:hAnsi="Arial" w:cs="Arial"/>
          <w:sz w:val="32"/>
        </w:rPr>
      </w:pPr>
    </w:p>
    <w:p w14:paraId="33DD18D4">
      <w:pPr>
        <w:jc w:val="center"/>
        <w:rPr>
          <w:rFonts w:ascii="Arial" w:hAnsi="Arial" w:cs="Arial"/>
          <w:sz w:val="32"/>
        </w:rPr>
      </w:pPr>
    </w:p>
    <w:p w14:paraId="1E98CB10">
      <w:pPr>
        <w:rPr>
          <w:rFonts w:hint="eastAsia" w:ascii="Arial" w:hAnsi="Arial" w:cs="Arial"/>
          <w:sz w:val="28"/>
        </w:rPr>
      </w:pPr>
    </w:p>
    <w:p w14:paraId="3525B9F0">
      <w:pPr>
        <w:spacing w:line="360" w:lineRule="auto"/>
        <w:ind w:left="1680" w:firstLine="21"/>
        <w:jc w:val="left"/>
        <w:rPr>
          <w:rFonts w:hint="eastAsia" w:ascii="Arial" w:hAnsi="Arial" w:eastAsia="黑体" w:cs="Arial"/>
          <w:b/>
          <w:sz w:val="32"/>
        </w:rPr>
      </w:pPr>
      <w:r>
        <w:rPr>
          <w:rFonts w:ascii="Arial" w:hAnsi="Arial" w:eastAsia="黑体" w:cs="Arial"/>
          <w:b/>
          <w:sz w:val="32"/>
        </w:rPr>
        <w:t>采   购   人：</w:t>
      </w:r>
      <w:r>
        <w:rPr>
          <w:rFonts w:hint="eastAsia" w:ascii="Arial" w:hAnsi="Arial" w:eastAsia="黑体" w:cs="Arial"/>
          <w:b/>
          <w:sz w:val="32"/>
          <w:lang w:eastAsia="zh-CN"/>
        </w:rPr>
        <w:t>江苏第二师范学院</w:t>
      </w:r>
    </w:p>
    <w:p w14:paraId="78B378A9">
      <w:pPr>
        <w:spacing w:line="360" w:lineRule="auto"/>
        <w:ind w:left="1680" w:firstLine="21"/>
        <w:jc w:val="left"/>
        <w:rPr>
          <w:rFonts w:hint="eastAsia" w:ascii="Arial" w:hAnsi="Arial" w:eastAsia="黑体" w:cs="Arial"/>
          <w:b/>
          <w:sz w:val="32"/>
          <w:lang w:eastAsia="zh-CN"/>
        </w:rPr>
      </w:pPr>
      <w:r>
        <w:rPr>
          <w:rFonts w:ascii="Arial" w:hAnsi="Arial" w:eastAsia="黑体" w:cs="Arial"/>
          <w:b/>
          <w:sz w:val="32"/>
        </w:rPr>
        <w:t>采购代理机构：</w:t>
      </w:r>
      <w:r>
        <w:rPr>
          <w:rFonts w:hint="eastAsia" w:ascii="Arial" w:hAnsi="Arial" w:eastAsia="黑体" w:cs="Arial"/>
          <w:b/>
          <w:sz w:val="32"/>
          <w:lang w:eastAsia="zh-CN"/>
        </w:rPr>
        <w:t>中邮建技术有限公司</w:t>
      </w:r>
    </w:p>
    <w:p w14:paraId="1B01AB76">
      <w:pPr>
        <w:spacing w:line="360" w:lineRule="auto"/>
        <w:ind w:left="1680" w:firstLine="21"/>
        <w:jc w:val="left"/>
        <w:rPr>
          <w:rFonts w:ascii="Arial" w:hAnsi="Arial" w:eastAsia="黑体" w:cs="Arial"/>
          <w:b/>
          <w:sz w:val="32"/>
        </w:rPr>
      </w:pPr>
      <w:r>
        <w:rPr>
          <w:rFonts w:ascii="Arial" w:hAnsi="Arial" w:eastAsia="黑体" w:cs="Arial"/>
          <w:b/>
          <w:sz w:val="32"/>
        </w:rPr>
        <w:t>日        期：二O二</w:t>
      </w:r>
      <w:r>
        <w:rPr>
          <w:rFonts w:hint="eastAsia" w:ascii="Arial" w:hAnsi="Arial" w:eastAsia="黑体" w:cs="Arial"/>
          <w:b/>
          <w:sz w:val="32"/>
        </w:rPr>
        <w:t>六</w:t>
      </w:r>
      <w:r>
        <w:rPr>
          <w:rFonts w:ascii="Arial" w:hAnsi="Arial" w:eastAsia="黑体" w:cs="Arial"/>
          <w:b/>
          <w:sz w:val="32"/>
        </w:rPr>
        <w:t>年</w:t>
      </w:r>
      <w:r>
        <w:rPr>
          <w:rFonts w:hint="eastAsia" w:ascii="Arial" w:hAnsi="Arial" w:eastAsia="黑体" w:cs="Arial"/>
          <w:b/>
          <w:sz w:val="32"/>
          <w:lang w:val="en-US" w:eastAsia="zh-CN"/>
        </w:rPr>
        <w:t>七</w:t>
      </w:r>
      <w:r>
        <w:rPr>
          <w:rFonts w:hint="eastAsia" w:ascii="Arial" w:hAnsi="Arial" w:eastAsia="黑体" w:cs="Arial"/>
          <w:b/>
          <w:sz w:val="32"/>
        </w:rPr>
        <w:t>月</w:t>
      </w:r>
    </w:p>
    <w:p w14:paraId="0045A3FF">
      <w:pPr>
        <w:spacing w:line="360" w:lineRule="auto"/>
        <w:jc w:val="center"/>
        <w:rPr>
          <w:rFonts w:ascii="Arial" w:hAnsi="Arial" w:cs="Arial"/>
        </w:rPr>
      </w:pPr>
      <w:r>
        <w:rPr>
          <w:rFonts w:ascii="Arial" w:hAnsi="Arial" w:cs="Arial"/>
        </w:rPr>
        <w:br w:type="page" w:clear="all"/>
      </w:r>
    </w:p>
    <w:p w14:paraId="131FCB59">
      <w:pPr>
        <w:spacing w:before="100" w:beforeAutospacing="1" w:after="100" w:afterAutospacing="1" w:line="360" w:lineRule="auto"/>
        <w:jc w:val="center"/>
        <w:rPr>
          <w:rFonts w:ascii="黑体" w:hAnsi="黑体" w:eastAsia="黑体" w:cs="Arial"/>
          <w:b/>
          <w:sz w:val="32"/>
          <w:szCs w:val="32"/>
        </w:rPr>
      </w:pPr>
      <w:r>
        <w:rPr>
          <w:rFonts w:ascii="黑体" w:hAnsi="黑体" w:eastAsia="黑体" w:cs="Arial"/>
          <w:b/>
          <w:sz w:val="32"/>
          <w:szCs w:val="32"/>
        </w:rPr>
        <w:t>目  录</w:t>
      </w:r>
    </w:p>
    <w:p w14:paraId="51EA4732">
      <w:pPr>
        <w:spacing w:line="360" w:lineRule="auto"/>
        <w:jc w:val="center"/>
        <w:rPr>
          <w:rFonts w:ascii="Arial" w:hAnsi="Arial" w:cs="Arial"/>
          <w:b/>
          <w:sz w:val="30"/>
        </w:rPr>
      </w:pPr>
    </w:p>
    <w:p w14:paraId="34ABF287">
      <w:pPr>
        <w:pStyle w:val="21"/>
        <w:keepNext w:val="0"/>
        <w:keepLines w:val="0"/>
        <w:pageBreakBefore w:val="0"/>
        <w:widowControl w:val="0"/>
        <w:tabs>
          <w:tab w:val="right" w:leader="dot" w:pos="8957"/>
        </w:tabs>
        <w:kinsoku/>
        <w:wordWrap/>
        <w:overflowPunct/>
        <w:topLinePunct w:val="0"/>
        <w:autoSpaceDE/>
        <w:autoSpaceDN/>
        <w:bidi w:val="0"/>
        <w:adjustRightInd/>
        <w:snapToGrid/>
        <w:spacing w:line="360" w:lineRule="auto"/>
        <w:textAlignment w:val="auto"/>
        <w:rPr>
          <w:sz w:val="28"/>
          <w:szCs w:val="28"/>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rPr>
          <w:rFonts w:eastAsia="宋体"/>
          <w:sz w:val="28"/>
          <w:szCs w:val="28"/>
        </w:rPr>
        <w:fldChar w:fldCharType="begin"/>
      </w:r>
      <w:r>
        <w:rPr>
          <w:rFonts w:eastAsia="宋体"/>
          <w:sz w:val="28"/>
          <w:szCs w:val="28"/>
        </w:rPr>
        <w:instrText xml:space="preserve"> HYPERLINK \l _Toc3460 </w:instrText>
      </w:r>
      <w:r>
        <w:rPr>
          <w:rFonts w:eastAsia="宋体"/>
          <w:sz w:val="28"/>
          <w:szCs w:val="28"/>
        </w:rPr>
        <w:fldChar w:fldCharType="separate"/>
      </w:r>
      <w:r>
        <w:rPr>
          <w:rFonts w:ascii="Arial" w:hAnsi="Arial" w:eastAsia="黑体" w:cs="Arial"/>
          <w:sz w:val="28"/>
          <w:szCs w:val="28"/>
        </w:rPr>
        <w:t>第一章 投标邀请</w:t>
      </w:r>
      <w:r>
        <w:rPr>
          <w:sz w:val="28"/>
          <w:szCs w:val="28"/>
        </w:rPr>
        <w:tab/>
      </w:r>
      <w:r>
        <w:rPr>
          <w:sz w:val="28"/>
          <w:szCs w:val="28"/>
        </w:rPr>
        <w:fldChar w:fldCharType="begin"/>
      </w:r>
      <w:r>
        <w:rPr>
          <w:sz w:val="28"/>
          <w:szCs w:val="28"/>
        </w:rPr>
        <w:instrText xml:space="preserve"> PAGEREF _Toc3460 \h </w:instrText>
      </w:r>
      <w:r>
        <w:rPr>
          <w:sz w:val="28"/>
          <w:szCs w:val="28"/>
        </w:rPr>
        <w:fldChar w:fldCharType="separate"/>
      </w:r>
      <w:r>
        <w:rPr>
          <w:sz w:val="28"/>
          <w:szCs w:val="28"/>
        </w:rPr>
        <w:t>3</w:t>
      </w:r>
      <w:r>
        <w:rPr>
          <w:sz w:val="28"/>
          <w:szCs w:val="28"/>
        </w:rPr>
        <w:fldChar w:fldCharType="end"/>
      </w:r>
      <w:r>
        <w:rPr>
          <w:rFonts w:eastAsia="宋体"/>
          <w:sz w:val="28"/>
          <w:szCs w:val="28"/>
        </w:rPr>
        <w:fldChar w:fldCharType="end"/>
      </w:r>
    </w:p>
    <w:p w14:paraId="05652600">
      <w:pPr>
        <w:pStyle w:val="21"/>
        <w:keepNext w:val="0"/>
        <w:keepLines w:val="0"/>
        <w:pageBreakBefore w:val="0"/>
        <w:widowControl w:val="0"/>
        <w:tabs>
          <w:tab w:val="right" w:leader="dot" w:pos="8957"/>
        </w:tabs>
        <w:kinsoku/>
        <w:wordWrap/>
        <w:overflowPunct/>
        <w:topLinePunct w:val="0"/>
        <w:autoSpaceDE/>
        <w:autoSpaceDN/>
        <w:bidi w:val="0"/>
        <w:adjustRightInd/>
        <w:snapToGrid/>
        <w:spacing w:line="360" w:lineRule="auto"/>
        <w:textAlignment w:val="auto"/>
        <w:rPr>
          <w:sz w:val="28"/>
          <w:szCs w:val="28"/>
        </w:rPr>
      </w:pPr>
      <w:r>
        <w:rPr>
          <w:rFonts w:eastAsia="宋体"/>
          <w:sz w:val="28"/>
          <w:szCs w:val="28"/>
        </w:rPr>
        <w:fldChar w:fldCharType="begin"/>
      </w:r>
      <w:r>
        <w:rPr>
          <w:rFonts w:eastAsia="宋体"/>
          <w:sz w:val="28"/>
          <w:szCs w:val="28"/>
        </w:rPr>
        <w:instrText xml:space="preserve"> HYPERLINK \l _Toc29640 </w:instrText>
      </w:r>
      <w:r>
        <w:rPr>
          <w:rFonts w:eastAsia="宋体"/>
          <w:sz w:val="28"/>
          <w:szCs w:val="28"/>
        </w:rPr>
        <w:fldChar w:fldCharType="separate"/>
      </w:r>
      <w:r>
        <w:rPr>
          <w:rFonts w:ascii="Arial" w:hAnsi="Arial" w:eastAsia="黑体" w:cs="Arial"/>
          <w:sz w:val="28"/>
          <w:szCs w:val="28"/>
        </w:rPr>
        <w:t>第二章 投标人须知</w:t>
      </w:r>
      <w:r>
        <w:rPr>
          <w:sz w:val="28"/>
          <w:szCs w:val="28"/>
        </w:rPr>
        <w:tab/>
      </w:r>
      <w:r>
        <w:rPr>
          <w:sz w:val="28"/>
          <w:szCs w:val="28"/>
        </w:rPr>
        <w:fldChar w:fldCharType="begin"/>
      </w:r>
      <w:r>
        <w:rPr>
          <w:sz w:val="28"/>
          <w:szCs w:val="28"/>
        </w:rPr>
        <w:instrText xml:space="preserve"> PAGEREF _Toc29640 \h </w:instrText>
      </w:r>
      <w:r>
        <w:rPr>
          <w:sz w:val="28"/>
          <w:szCs w:val="28"/>
        </w:rPr>
        <w:fldChar w:fldCharType="separate"/>
      </w:r>
      <w:r>
        <w:rPr>
          <w:sz w:val="28"/>
          <w:szCs w:val="28"/>
        </w:rPr>
        <w:t>7</w:t>
      </w:r>
      <w:r>
        <w:rPr>
          <w:sz w:val="28"/>
          <w:szCs w:val="28"/>
        </w:rPr>
        <w:fldChar w:fldCharType="end"/>
      </w:r>
      <w:r>
        <w:rPr>
          <w:rFonts w:eastAsia="宋体"/>
          <w:sz w:val="28"/>
          <w:szCs w:val="28"/>
        </w:rPr>
        <w:fldChar w:fldCharType="end"/>
      </w:r>
    </w:p>
    <w:p w14:paraId="3280F2A6">
      <w:pPr>
        <w:pStyle w:val="21"/>
        <w:keepNext w:val="0"/>
        <w:keepLines w:val="0"/>
        <w:pageBreakBefore w:val="0"/>
        <w:widowControl w:val="0"/>
        <w:tabs>
          <w:tab w:val="right" w:leader="dot" w:pos="8957"/>
        </w:tabs>
        <w:kinsoku/>
        <w:wordWrap/>
        <w:overflowPunct/>
        <w:topLinePunct w:val="0"/>
        <w:autoSpaceDE/>
        <w:autoSpaceDN/>
        <w:bidi w:val="0"/>
        <w:adjustRightInd/>
        <w:snapToGrid/>
        <w:spacing w:line="360" w:lineRule="auto"/>
        <w:textAlignment w:val="auto"/>
        <w:rPr>
          <w:sz w:val="28"/>
          <w:szCs w:val="28"/>
        </w:rPr>
      </w:pPr>
      <w:r>
        <w:rPr>
          <w:rFonts w:eastAsia="宋体"/>
          <w:sz w:val="28"/>
          <w:szCs w:val="28"/>
        </w:rPr>
        <w:fldChar w:fldCharType="begin"/>
      </w:r>
      <w:r>
        <w:rPr>
          <w:rFonts w:eastAsia="宋体"/>
          <w:sz w:val="28"/>
          <w:szCs w:val="28"/>
        </w:rPr>
        <w:instrText xml:space="preserve"> HYPERLINK \l _Toc5950 </w:instrText>
      </w:r>
      <w:r>
        <w:rPr>
          <w:rFonts w:eastAsia="宋体"/>
          <w:sz w:val="28"/>
          <w:szCs w:val="28"/>
        </w:rPr>
        <w:fldChar w:fldCharType="separate"/>
      </w:r>
      <w:r>
        <w:rPr>
          <w:rFonts w:ascii="Arial" w:hAnsi="Arial" w:eastAsia="黑体" w:cs="Arial"/>
          <w:sz w:val="28"/>
          <w:szCs w:val="28"/>
        </w:rPr>
        <w:t>第</w:t>
      </w:r>
      <w:r>
        <w:rPr>
          <w:rFonts w:hint="eastAsia" w:ascii="Arial" w:hAnsi="Arial" w:eastAsia="黑体" w:cs="Arial"/>
          <w:sz w:val="28"/>
          <w:szCs w:val="28"/>
        </w:rPr>
        <w:t>三</w:t>
      </w:r>
      <w:r>
        <w:rPr>
          <w:rFonts w:ascii="Arial" w:hAnsi="Arial" w:eastAsia="黑体" w:cs="Arial"/>
          <w:sz w:val="28"/>
          <w:szCs w:val="28"/>
        </w:rPr>
        <w:t>章</w:t>
      </w:r>
      <w:r>
        <w:rPr>
          <w:rFonts w:hint="eastAsia" w:ascii="Arial" w:hAnsi="Arial" w:eastAsia="黑体" w:cs="Arial"/>
          <w:sz w:val="28"/>
          <w:szCs w:val="28"/>
        </w:rPr>
        <w:t xml:space="preserve"> 项目需求</w:t>
      </w:r>
      <w:r>
        <w:rPr>
          <w:sz w:val="28"/>
          <w:szCs w:val="28"/>
        </w:rPr>
        <w:tab/>
      </w:r>
      <w:r>
        <w:rPr>
          <w:sz w:val="28"/>
          <w:szCs w:val="28"/>
        </w:rPr>
        <w:fldChar w:fldCharType="begin"/>
      </w:r>
      <w:r>
        <w:rPr>
          <w:sz w:val="28"/>
          <w:szCs w:val="28"/>
        </w:rPr>
        <w:instrText xml:space="preserve"> PAGEREF _Toc5950 \h </w:instrText>
      </w:r>
      <w:r>
        <w:rPr>
          <w:sz w:val="28"/>
          <w:szCs w:val="28"/>
        </w:rPr>
        <w:fldChar w:fldCharType="separate"/>
      </w:r>
      <w:r>
        <w:rPr>
          <w:sz w:val="28"/>
          <w:szCs w:val="28"/>
        </w:rPr>
        <w:t>19</w:t>
      </w:r>
      <w:r>
        <w:rPr>
          <w:sz w:val="28"/>
          <w:szCs w:val="28"/>
        </w:rPr>
        <w:fldChar w:fldCharType="end"/>
      </w:r>
      <w:r>
        <w:rPr>
          <w:rFonts w:eastAsia="宋体"/>
          <w:sz w:val="28"/>
          <w:szCs w:val="28"/>
        </w:rPr>
        <w:fldChar w:fldCharType="end"/>
      </w:r>
    </w:p>
    <w:p w14:paraId="49802F60">
      <w:pPr>
        <w:pStyle w:val="21"/>
        <w:keepNext w:val="0"/>
        <w:keepLines w:val="0"/>
        <w:pageBreakBefore w:val="0"/>
        <w:widowControl w:val="0"/>
        <w:tabs>
          <w:tab w:val="right" w:leader="dot" w:pos="8957"/>
        </w:tabs>
        <w:kinsoku/>
        <w:wordWrap/>
        <w:overflowPunct/>
        <w:topLinePunct w:val="0"/>
        <w:autoSpaceDE/>
        <w:autoSpaceDN/>
        <w:bidi w:val="0"/>
        <w:adjustRightInd/>
        <w:snapToGrid/>
        <w:spacing w:line="360" w:lineRule="auto"/>
        <w:textAlignment w:val="auto"/>
        <w:rPr>
          <w:sz w:val="28"/>
          <w:szCs w:val="28"/>
        </w:rPr>
      </w:pPr>
      <w:r>
        <w:rPr>
          <w:rFonts w:eastAsia="宋体"/>
          <w:sz w:val="28"/>
          <w:szCs w:val="28"/>
        </w:rPr>
        <w:fldChar w:fldCharType="begin"/>
      </w:r>
      <w:r>
        <w:rPr>
          <w:rFonts w:eastAsia="宋体"/>
          <w:sz w:val="28"/>
          <w:szCs w:val="28"/>
        </w:rPr>
        <w:instrText xml:space="preserve"> HYPERLINK \l _Toc12809 </w:instrText>
      </w:r>
      <w:r>
        <w:rPr>
          <w:rFonts w:eastAsia="宋体"/>
          <w:sz w:val="28"/>
          <w:szCs w:val="28"/>
        </w:rPr>
        <w:fldChar w:fldCharType="separate"/>
      </w:r>
      <w:r>
        <w:rPr>
          <w:rFonts w:ascii="Arial" w:hAnsi="Arial" w:eastAsia="黑体" w:cs="Arial"/>
          <w:sz w:val="28"/>
          <w:szCs w:val="28"/>
        </w:rPr>
        <w:t>第</w:t>
      </w:r>
      <w:r>
        <w:rPr>
          <w:rFonts w:hint="eastAsia" w:ascii="Arial" w:hAnsi="Arial" w:eastAsia="黑体" w:cs="Arial"/>
          <w:sz w:val="28"/>
          <w:szCs w:val="28"/>
        </w:rPr>
        <w:t>四</w:t>
      </w:r>
      <w:r>
        <w:rPr>
          <w:rFonts w:ascii="Arial" w:hAnsi="Arial" w:eastAsia="黑体" w:cs="Arial"/>
          <w:sz w:val="28"/>
          <w:szCs w:val="28"/>
        </w:rPr>
        <w:t>章 评标方法、评分标准</w:t>
      </w:r>
      <w:r>
        <w:rPr>
          <w:sz w:val="28"/>
          <w:szCs w:val="28"/>
        </w:rPr>
        <w:tab/>
      </w:r>
      <w:r>
        <w:rPr>
          <w:sz w:val="28"/>
          <w:szCs w:val="28"/>
        </w:rPr>
        <w:fldChar w:fldCharType="begin"/>
      </w:r>
      <w:r>
        <w:rPr>
          <w:sz w:val="28"/>
          <w:szCs w:val="28"/>
        </w:rPr>
        <w:instrText xml:space="preserve"> PAGEREF _Toc12809 \h </w:instrText>
      </w:r>
      <w:r>
        <w:rPr>
          <w:sz w:val="28"/>
          <w:szCs w:val="28"/>
        </w:rPr>
        <w:fldChar w:fldCharType="separate"/>
      </w:r>
      <w:r>
        <w:rPr>
          <w:sz w:val="28"/>
          <w:szCs w:val="28"/>
        </w:rPr>
        <w:t>23</w:t>
      </w:r>
      <w:r>
        <w:rPr>
          <w:sz w:val="28"/>
          <w:szCs w:val="28"/>
        </w:rPr>
        <w:fldChar w:fldCharType="end"/>
      </w:r>
      <w:r>
        <w:rPr>
          <w:rFonts w:eastAsia="宋体"/>
          <w:sz w:val="28"/>
          <w:szCs w:val="28"/>
        </w:rPr>
        <w:fldChar w:fldCharType="end"/>
      </w:r>
    </w:p>
    <w:p w14:paraId="14B48749">
      <w:pPr>
        <w:pStyle w:val="21"/>
        <w:keepNext w:val="0"/>
        <w:keepLines w:val="0"/>
        <w:pageBreakBefore w:val="0"/>
        <w:widowControl w:val="0"/>
        <w:tabs>
          <w:tab w:val="right" w:leader="dot" w:pos="8957"/>
        </w:tabs>
        <w:kinsoku/>
        <w:wordWrap/>
        <w:overflowPunct/>
        <w:topLinePunct w:val="0"/>
        <w:autoSpaceDE/>
        <w:autoSpaceDN/>
        <w:bidi w:val="0"/>
        <w:adjustRightInd/>
        <w:snapToGrid/>
        <w:spacing w:line="360" w:lineRule="auto"/>
        <w:textAlignment w:val="auto"/>
        <w:rPr>
          <w:sz w:val="28"/>
          <w:szCs w:val="28"/>
        </w:rPr>
      </w:pPr>
      <w:r>
        <w:rPr>
          <w:rFonts w:eastAsia="宋体"/>
          <w:sz w:val="28"/>
          <w:szCs w:val="28"/>
        </w:rPr>
        <w:fldChar w:fldCharType="begin"/>
      </w:r>
      <w:r>
        <w:rPr>
          <w:rFonts w:eastAsia="宋体"/>
          <w:sz w:val="28"/>
          <w:szCs w:val="28"/>
        </w:rPr>
        <w:instrText xml:space="preserve"> HYPERLINK \l _Toc31316 </w:instrText>
      </w:r>
      <w:r>
        <w:rPr>
          <w:rFonts w:eastAsia="宋体"/>
          <w:sz w:val="28"/>
          <w:szCs w:val="28"/>
        </w:rPr>
        <w:fldChar w:fldCharType="separate"/>
      </w:r>
      <w:r>
        <w:rPr>
          <w:rFonts w:ascii="Arial" w:hAnsi="Arial" w:eastAsia="黑体" w:cs="Arial"/>
          <w:sz w:val="28"/>
          <w:szCs w:val="28"/>
        </w:rPr>
        <w:t>第五章 合同主要条款</w:t>
      </w:r>
      <w:r>
        <w:rPr>
          <w:sz w:val="28"/>
          <w:szCs w:val="28"/>
        </w:rPr>
        <w:tab/>
      </w:r>
      <w:r>
        <w:rPr>
          <w:sz w:val="28"/>
          <w:szCs w:val="28"/>
        </w:rPr>
        <w:fldChar w:fldCharType="begin"/>
      </w:r>
      <w:r>
        <w:rPr>
          <w:sz w:val="28"/>
          <w:szCs w:val="28"/>
        </w:rPr>
        <w:instrText xml:space="preserve"> PAGEREF _Toc31316 \h </w:instrText>
      </w:r>
      <w:r>
        <w:rPr>
          <w:sz w:val="28"/>
          <w:szCs w:val="28"/>
        </w:rPr>
        <w:fldChar w:fldCharType="separate"/>
      </w:r>
      <w:r>
        <w:rPr>
          <w:sz w:val="28"/>
          <w:szCs w:val="28"/>
        </w:rPr>
        <w:t>26</w:t>
      </w:r>
      <w:r>
        <w:rPr>
          <w:sz w:val="28"/>
          <w:szCs w:val="28"/>
        </w:rPr>
        <w:fldChar w:fldCharType="end"/>
      </w:r>
      <w:r>
        <w:rPr>
          <w:rFonts w:eastAsia="宋体"/>
          <w:sz w:val="28"/>
          <w:szCs w:val="28"/>
        </w:rPr>
        <w:fldChar w:fldCharType="end"/>
      </w:r>
    </w:p>
    <w:p w14:paraId="77913B96">
      <w:pPr>
        <w:pStyle w:val="21"/>
        <w:keepNext w:val="0"/>
        <w:keepLines w:val="0"/>
        <w:pageBreakBefore w:val="0"/>
        <w:widowControl w:val="0"/>
        <w:tabs>
          <w:tab w:val="right" w:leader="dot" w:pos="8957"/>
        </w:tabs>
        <w:kinsoku/>
        <w:wordWrap/>
        <w:overflowPunct/>
        <w:topLinePunct w:val="0"/>
        <w:autoSpaceDE/>
        <w:autoSpaceDN/>
        <w:bidi w:val="0"/>
        <w:adjustRightInd/>
        <w:snapToGrid/>
        <w:spacing w:line="360" w:lineRule="auto"/>
        <w:textAlignment w:val="auto"/>
      </w:pPr>
      <w:r>
        <w:rPr>
          <w:rFonts w:eastAsia="宋体"/>
          <w:sz w:val="28"/>
          <w:szCs w:val="28"/>
        </w:rPr>
        <w:fldChar w:fldCharType="begin"/>
      </w:r>
      <w:r>
        <w:rPr>
          <w:rFonts w:eastAsia="宋体"/>
          <w:sz w:val="28"/>
          <w:szCs w:val="28"/>
        </w:rPr>
        <w:instrText xml:space="preserve"> HYPERLINK \l _Toc8863 </w:instrText>
      </w:r>
      <w:r>
        <w:rPr>
          <w:rFonts w:eastAsia="宋体"/>
          <w:sz w:val="28"/>
          <w:szCs w:val="28"/>
        </w:rPr>
        <w:fldChar w:fldCharType="separate"/>
      </w:r>
      <w:r>
        <w:rPr>
          <w:rFonts w:ascii="Arial" w:hAnsi="Arial" w:eastAsia="黑体" w:cs="Arial"/>
          <w:sz w:val="28"/>
          <w:szCs w:val="28"/>
        </w:rPr>
        <w:t>第</w:t>
      </w:r>
      <w:r>
        <w:rPr>
          <w:rFonts w:hint="eastAsia" w:ascii="Arial" w:hAnsi="Arial" w:eastAsia="黑体" w:cs="Arial"/>
          <w:sz w:val="28"/>
          <w:szCs w:val="28"/>
        </w:rPr>
        <w:t>六</w:t>
      </w:r>
      <w:r>
        <w:rPr>
          <w:rFonts w:ascii="Arial" w:hAnsi="Arial" w:eastAsia="黑体" w:cs="Arial"/>
          <w:sz w:val="28"/>
          <w:szCs w:val="28"/>
        </w:rPr>
        <w:t>章 投标文件格式</w:t>
      </w:r>
      <w:r>
        <w:rPr>
          <w:sz w:val="28"/>
          <w:szCs w:val="28"/>
        </w:rPr>
        <w:tab/>
      </w:r>
      <w:r>
        <w:rPr>
          <w:sz w:val="28"/>
          <w:szCs w:val="28"/>
        </w:rPr>
        <w:fldChar w:fldCharType="begin"/>
      </w:r>
      <w:r>
        <w:rPr>
          <w:sz w:val="28"/>
          <w:szCs w:val="28"/>
        </w:rPr>
        <w:instrText xml:space="preserve"> PAGEREF _Toc8863 \h </w:instrText>
      </w:r>
      <w:r>
        <w:rPr>
          <w:sz w:val="28"/>
          <w:szCs w:val="28"/>
        </w:rPr>
        <w:fldChar w:fldCharType="separate"/>
      </w:r>
      <w:r>
        <w:rPr>
          <w:sz w:val="28"/>
          <w:szCs w:val="28"/>
        </w:rPr>
        <w:t>34</w:t>
      </w:r>
      <w:r>
        <w:rPr>
          <w:sz w:val="28"/>
          <w:szCs w:val="28"/>
        </w:rPr>
        <w:fldChar w:fldCharType="end"/>
      </w:r>
      <w:r>
        <w:rPr>
          <w:rFonts w:eastAsia="宋体"/>
          <w:sz w:val="28"/>
          <w:szCs w:val="28"/>
        </w:rPr>
        <w:fldChar w:fldCharType="end"/>
      </w:r>
    </w:p>
    <w:p w14:paraId="73CF5EEC">
      <w:pPr>
        <w:pStyle w:val="197"/>
        <w:spacing w:line="360" w:lineRule="auto"/>
        <w:rPr>
          <w:rFonts w:ascii="Arial" w:hAnsi="Arial" w:cs="Arial"/>
          <w:sz w:val="28"/>
        </w:rPr>
      </w:pPr>
      <w:r>
        <w:rPr>
          <w:rFonts w:eastAsia="宋体"/>
          <w:szCs w:val="24"/>
        </w:rPr>
        <w:fldChar w:fldCharType="end"/>
      </w:r>
    </w:p>
    <w:p w14:paraId="6D895E35">
      <w:pPr>
        <w:pStyle w:val="185"/>
        <w:spacing w:before="120" w:after="100" w:afterAutospacing="1" w:line="240" w:lineRule="auto"/>
        <w:jc w:val="center"/>
        <w:rPr>
          <w:rFonts w:hint="eastAsia" w:ascii="Arial" w:hAnsi="Arial" w:eastAsia="黑体" w:cs="Arial"/>
          <w:sz w:val="32"/>
        </w:rPr>
      </w:pPr>
      <w:r>
        <w:rPr>
          <w:rFonts w:ascii="Arial" w:hAnsi="Arial" w:cs="Arial"/>
          <w:sz w:val="28"/>
        </w:rPr>
        <w:br w:type="page" w:clear="all"/>
      </w:r>
      <w:bookmarkStart w:id="0" w:name="_Toc3460"/>
      <w:bookmarkStart w:id="1" w:name="_Toc237917776"/>
      <w:r>
        <w:rPr>
          <w:rFonts w:ascii="Arial" w:hAnsi="Arial" w:eastAsia="黑体" w:cs="Arial"/>
          <w:sz w:val="32"/>
        </w:rPr>
        <w:t>第一章 投标邀请</w:t>
      </w:r>
      <w:bookmarkEnd w:id="0"/>
      <w:bookmarkEnd w:id="1"/>
    </w:p>
    <w:p w14:paraId="02B2ACDA">
      <w:pPr>
        <w:widowControl/>
        <w:spacing w:line="348" w:lineRule="auto"/>
        <w:ind w:firstLine="480"/>
        <w:rPr>
          <w:rFonts w:ascii="宋体" w:hAnsi="宋体"/>
          <w:sz w:val="24"/>
        </w:rPr>
      </w:pPr>
      <w:r>
        <w:rPr>
          <w:rFonts w:hint="eastAsia" w:ascii="宋体" w:hAnsi="宋体"/>
          <w:sz w:val="24"/>
          <w:lang w:eastAsia="zh-CN"/>
        </w:rPr>
        <w:t>中邮建技术有限公司</w:t>
      </w:r>
      <w:r>
        <w:rPr>
          <w:rFonts w:hint="eastAsia" w:ascii="宋体" w:hAnsi="宋体"/>
          <w:sz w:val="24"/>
        </w:rPr>
        <w:t>接受</w:t>
      </w:r>
      <w:r>
        <w:rPr>
          <w:rFonts w:hint="eastAsia" w:ascii="宋体" w:hAnsi="宋体"/>
          <w:sz w:val="24"/>
          <w:lang w:eastAsia="zh-CN"/>
        </w:rPr>
        <w:t>江苏第二师范学院</w:t>
      </w:r>
      <w:r>
        <w:rPr>
          <w:rFonts w:hint="eastAsia" w:ascii="宋体" w:hAnsi="宋体"/>
          <w:sz w:val="24"/>
        </w:rPr>
        <w:t>的委托，就</w:t>
      </w:r>
      <w:r>
        <w:rPr>
          <w:rFonts w:hint="eastAsia" w:ascii="宋体" w:hAnsi="宋体"/>
          <w:sz w:val="24"/>
          <w:lang w:val="en-US" w:eastAsia="zh-CN"/>
        </w:rPr>
        <w:t>江苏第二师范学院草场门校区卫生所医疗卫生服务托管</w:t>
      </w:r>
      <w:r>
        <w:rPr>
          <w:rFonts w:hint="eastAsia" w:ascii="宋体" w:hAnsi="宋体"/>
          <w:sz w:val="24"/>
        </w:rPr>
        <w:t>进行公开招标，欢迎具备投标资格的投标人前来参加投标。</w:t>
      </w:r>
    </w:p>
    <w:p w14:paraId="4B9730C7">
      <w:pPr>
        <w:pBdr>
          <w:top w:val="single" w:color="000000" w:sz="4" w:space="1"/>
          <w:left w:val="single" w:color="000000" w:sz="4" w:space="4"/>
          <w:bottom w:val="single" w:color="000000" w:sz="4" w:space="1"/>
          <w:right w:val="single" w:color="000000" w:sz="4" w:space="4"/>
        </w:pBdr>
        <w:spacing w:line="348" w:lineRule="auto"/>
        <w:ind w:firstLine="480"/>
        <w:rPr>
          <w:rFonts w:hint="eastAsia" w:ascii="宋体" w:hAnsi="宋体"/>
          <w:sz w:val="24"/>
          <w:szCs w:val="24"/>
        </w:rPr>
      </w:pPr>
      <w:r>
        <w:rPr>
          <w:rFonts w:hint="eastAsia" w:ascii="宋体" w:hAnsi="宋体"/>
          <w:sz w:val="24"/>
          <w:szCs w:val="24"/>
        </w:rPr>
        <w:t>项目概况</w:t>
      </w:r>
    </w:p>
    <w:p w14:paraId="67250D00">
      <w:pPr>
        <w:pBdr>
          <w:top w:val="single" w:color="000000" w:sz="4" w:space="1"/>
          <w:left w:val="single" w:color="000000" w:sz="4" w:space="4"/>
          <w:bottom w:val="single" w:color="000000" w:sz="4" w:space="1"/>
          <w:right w:val="single" w:color="000000" w:sz="4" w:space="4"/>
        </w:pBdr>
        <w:spacing w:line="348" w:lineRule="auto"/>
        <w:ind w:firstLine="480"/>
        <w:rPr>
          <w:rFonts w:hint="eastAsia" w:ascii="宋体" w:hAnsi="宋体"/>
          <w:sz w:val="24"/>
          <w:szCs w:val="24"/>
        </w:rPr>
      </w:pPr>
      <w:r>
        <w:rPr>
          <w:rFonts w:hint="eastAsia" w:ascii="宋体" w:hAnsi="宋体"/>
          <w:sz w:val="24"/>
          <w:szCs w:val="24"/>
          <w:u w:val="single"/>
          <w:lang w:val="en-US" w:eastAsia="zh-CN"/>
        </w:rPr>
        <w:t>江苏第二师范学院草场门校区卫生所医疗卫生服务托管</w:t>
      </w:r>
      <w:r>
        <w:rPr>
          <w:rFonts w:hint="eastAsia" w:ascii="宋体" w:hAnsi="宋体"/>
          <w:sz w:val="24"/>
          <w:szCs w:val="24"/>
        </w:rPr>
        <w:t>招标项目的潜在投标人应在</w:t>
      </w:r>
      <w:r>
        <w:rPr>
          <w:rFonts w:hint="eastAsia" w:ascii="宋体" w:hAnsi="宋体" w:cs="宋体"/>
          <w:sz w:val="24"/>
          <w:u w:val="single"/>
        </w:rPr>
        <w:t>“江苏政府采购网”自行免费下载</w:t>
      </w:r>
      <w:r>
        <w:rPr>
          <w:rFonts w:hint="eastAsia" w:ascii="宋体" w:hAnsi="宋体"/>
          <w:sz w:val="24"/>
          <w:szCs w:val="24"/>
        </w:rPr>
        <w:t>获取招标文件，并于</w:t>
      </w:r>
      <w:r>
        <w:rPr>
          <w:rFonts w:hint="eastAsia" w:ascii="宋体" w:hAnsi="宋体"/>
          <w:sz w:val="24"/>
          <w:szCs w:val="24"/>
          <w:u w:val="single"/>
        </w:rPr>
        <w:t xml:space="preserve"> 2026</w:t>
      </w:r>
      <w:r>
        <w:rPr>
          <w:rFonts w:hint="eastAsia" w:ascii="宋体" w:hAnsi="宋体"/>
          <w:bCs/>
          <w:sz w:val="24"/>
          <w:szCs w:val="24"/>
          <w:u w:val="single"/>
        </w:rPr>
        <w:t>年0</w:t>
      </w:r>
      <w:r>
        <w:rPr>
          <w:rFonts w:hint="eastAsia" w:ascii="宋体" w:hAnsi="宋体"/>
          <w:bCs/>
          <w:sz w:val="24"/>
          <w:szCs w:val="24"/>
          <w:u w:val="single"/>
          <w:lang w:val="en-US" w:eastAsia="zh-CN"/>
        </w:rPr>
        <w:t>7</w:t>
      </w:r>
      <w:r>
        <w:rPr>
          <w:rFonts w:hint="eastAsia" w:ascii="宋体" w:hAnsi="宋体"/>
          <w:bCs/>
          <w:sz w:val="24"/>
          <w:szCs w:val="24"/>
          <w:u w:val="single"/>
        </w:rPr>
        <w:t>月</w:t>
      </w:r>
      <w:r>
        <w:rPr>
          <w:rFonts w:hint="eastAsia" w:ascii="宋体" w:hAnsi="宋体"/>
          <w:bCs/>
          <w:sz w:val="24"/>
          <w:szCs w:val="24"/>
          <w:u w:val="single"/>
          <w:lang w:val="en-US" w:eastAsia="zh-CN"/>
        </w:rPr>
        <w:t>30</w:t>
      </w:r>
      <w:r>
        <w:rPr>
          <w:rFonts w:hint="eastAsia" w:ascii="宋体" w:hAnsi="宋体"/>
          <w:bCs/>
          <w:sz w:val="24"/>
          <w:szCs w:val="24"/>
          <w:u w:val="single"/>
        </w:rPr>
        <w:t>日</w:t>
      </w:r>
      <w:r>
        <w:rPr>
          <w:rFonts w:hint="eastAsia" w:ascii="宋体" w:hAnsi="宋体"/>
          <w:bCs/>
          <w:sz w:val="24"/>
          <w:szCs w:val="24"/>
          <w:u w:val="single"/>
          <w:lang w:val="en-US" w:eastAsia="zh-CN"/>
        </w:rPr>
        <w:t>14</w:t>
      </w:r>
      <w:r>
        <w:rPr>
          <w:rFonts w:hint="eastAsia" w:ascii="宋体" w:hAnsi="宋体"/>
          <w:bCs/>
          <w:sz w:val="24"/>
          <w:szCs w:val="24"/>
          <w:u w:val="single"/>
        </w:rPr>
        <w:t>点00分（</w:t>
      </w:r>
      <w:r>
        <w:rPr>
          <w:rFonts w:hint="eastAsia" w:ascii="宋体" w:hAnsi="宋体"/>
          <w:bCs/>
          <w:sz w:val="24"/>
          <w:szCs w:val="24"/>
        </w:rPr>
        <w:t>北京时间）前递交投标文件</w:t>
      </w:r>
      <w:r>
        <w:rPr>
          <w:rFonts w:hint="eastAsia" w:ascii="宋体" w:hAnsi="宋体"/>
          <w:sz w:val="24"/>
          <w:szCs w:val="24"/>
        </w:rPr>
        <w:t>。</w:t>
      </w:r>
    </w:p>
    <w:p w14:paraId="055D2BEA">
      <w:pPr>
        <w:spacing w:line="348" w:lineRule="auto"/>
        <w:rPr>
          <w:rFonts w:ascii="宋体" w:hAnsi="宋体"/>
          <w:b/>
          <w:sz w:val="24"/>
          <w:szCs w:val="24"/>
        </w:rPr>
      </w:pPr>
      <w:bookmarkStart w:id="2" w:name="_Toc35393621"/>
      <w:bookmarkStart w:id="3" w:name="_Toc28359002"/>
      <w:bookmarkStart w:id="4" w:name="_Toc35393790"/>
      <w:bookmarkStart w:id="5" w:name="_Toc28359079"/>
      <w:bookmarkStart w:id="6" w:name="_Hlk24379207"/>
      <w:r>
        <w:rPr>
          <w:rFonts w:hint="eastAsia" w:ascii="宋体" w:hAnsi="宋体"/>
          <w:b/>
          <w:sz w:val="24"/>
          <w:szCs w:val="24"/>
        </w:rPr>
        <w:t>一、项目基本情况</w:t>
      </w:r>
      <w:bookmarkEnd w:id="2"/>
      <w:bookmarkEnd w:id="3"/>
      <w:bookmarkEnd w:id="4"/>
      <w:bookmarkEnd w:id="5"/>
    </w:p>
    <w:bookmarkEnd w:id="6"/>
    <w:p w14:paraId="331F5528">
      <w:pPr>
        <w:pStyle w:val="198"/>
        <w:spacing w:before="75" w:beforeAutospacing="0" w:after="75" w:afterAutospacing="0" w:line="348" w:lineRule="auto"/>
        <w:ind w:firstLine="555"/>
        <w:rPr>
          <w:rFonts w:hint="eastAsia" w:eastAsia="宋体"/>
          <w:szCs w:val="24"/>
          <w:lang w:eastAsia="zh-CN"/>
        </w:rPr>
      </w:pPr>
      <w:bookmarkStart w:id="7" w:name="_Toc28359003"/>
      <w:bookmarkStart w:id="8" w:name="_Toc35393791"/>
      <w:bookmarkStart w:id="9" w:name="_Toc35393622"/>
      <w:bookmarkStart w:id="10" w:name="_Toc28359080"/>
      <w:r>
        <w:rPr>
          <w:szCs w:val="24"/>
        </w:rPr>
        <w:t>项目编号：</w:t>
      </w:r>
      <w:r>
        <w:rPr>
          <w:rFonts w:hint="eastAsia"/>
          <w:szCs w:val="24"/>
          <w:lang w:eastAsia="zh-CN"/>
        </w:rPr>
        <w:t>SZC-320000-CCTC-G2026-0003</w:t>
      </w:r>
    </w:p>
    <w:p w14:paraId="02D30CC1">
      <w:pPr>
        <w:pStyle w:val="198"/>
        <w:spacing w:before="75" w:beforeAutospacing="0" w:after="75" w:afterAutospacing="0" w:line="348" w:lineRule="auto"/>
        <w:ind w:firstLine="555"/>
        <w:rPr>
          <w:rFonts w:hint="eastAsia"/>
          <w:szCs w:val="24"/>
          <w:lang w:val="en-US" w:eastAsia="zh-CN"/>
        </w:rPr>
      </w:pPr>
      <w:r>
        <w:rPr>
          <w:szCs w:val="24"/>
        </w:rPr>
        <w:t>项目名称：</w:t>
      </w:r>
      <w:r>
        <w:rPr>
          <w:rFonts w:hint="eastAsia"/>
          <w:szCs w:val="24"/>
          <w:lang w:val="en-US" w:eastAsia="zh-CN"/>
        </w:rPr>
        <w:t>江苏第二师范学院草场门校区卫生所医疗卫生服务托管</w:t>
      </w:r>
    </w:p>
    <w:p w14:paraId="74BAF929">
      <w:pPr>
        <w:pStyle w:val="198"/>
        <w:spacing w:before="75" w:beforeAutospacing="0" w:after="75" w:afterAutospacing="0" w:line="348" w:lineRule="auto"/>
        <w:ind w:firstLine="555"/>
        <w:rPr>
          <w:szCs w:val="24"/>
        </w:rPr>
      </w:pPr>
      <w:r>
        <w:rPr>
          <w:szCs w:val="24"/>
        </w:rPr>
        <w:t>采购方式：公开招标</w:t>
      </w:r>
    </w:p>
    <w:p w14:paraId="4F7FD677">
      <w:pPr>
        <w:pStyle w:val="198"/>
        <w:spacing w:before="75" w:beforeAutospacing="0" w:after="75" w:afterAutospacing="0" w:line="348" w:lineRule="auto"/>
        <w:ind w:firstLine="555"/>
        <w:rPr>
          <w:szCs w:val="24"/>
        </w:rPr>
      </w:pPr>
      <w:r>
        <w:rPr>
          <w:szCs w:val="24"/>
        </w:rPr>
        <w:t>预算金额：</w:t>
      </w:r>
      <w:bookmarkStart w:id="11" w:name="_Hlk216771518"/>
      <w:r>
        <w:rPr>
          <w:szCs w:val="24"/>
        </w:rPr>
        <w:t>人民币</w:t>
      </w:r>
      <w:r>
        <w:rPr>
          <w:rFonts w:hint="eastAsia"/>
          <w:szCs w:val="24"/>
          <w:lang w:eastAsia="zh-CN"/>
        </w:rPr>
        <w:t>110</w:t>
      </w:r>
      <w:r>
        <w:rPr>
          <w:szCs w:val="24"/>
        </w:rPr>
        <w:t>万元</w:t>
      </w:r>
      <w:bookmarkEnd w:id="11"/>
    </w:p>
    <w:p w14:paraId="4CD3F0A4">
      <w:pPr>
        <w:pStyle w:val="198"/>
        <w:spacing w:before="75" w:beforeAutospacing="0" w:after="75" w:afterAutospacing="0" w:line="348" w:lineRule="auto"/>
        <w:ind w:firstLine="555"/>
        <w:rPr>
          <w:szCs w:val="24"/>
        </w:rPr>
      </w:pPr>
      <w:r>
        <w:rPr>
          <w:szCs w:val="24"/>
        </w:rPr>
        <w:t>最高限价：人民币</w:t>
      </w:r>
      <w:r>
        <w:rPr>
          <w:rFonts w:hint="eastAsia" w:cs="Times New Roman"/>
          <w:szCs w:val="24"/>
          <w:lang w:val="en-US" w:eastAsia="zh-CN"/>
        </w:rPr>
        <w:t>110</w:t>
      </w:r>
      <w:r>
        <w:rPr>
          <w:rFonts w:ascii="宋体" w:hAnsi="宋体" w:eastAsia="宋体" w:cs="Times New Roman"/>
          <w:szCs w:val="24"/>
        </w:rPr>
        <w:t>万</w:t>
      </w:r>
      <w:r>
        <w:rPr>
          <w:szCs w:val="24"/>
        </w:rPr>
        <w:t>元</w:t>
      </w:r>
    </w:p>
    <w:p w14:paraId="3EC77226">
      <w:pPr>
        <w:pStyle w:val="198"/>
        <w:spacing w:before="75" w:beforeAutospacing="0" w:after="75" w:afterAutospacing="0" w:line="348" w:lineRule="auto"/>
        <w:ind w:firstLine="555"/>
        <w:rPr>
          <w:rFonts w:hint="eastAsia" w:ascii="宋体" w:hAnsi="宋体" w:eastAsia="宋体" w:cs="Times New Roman"/>
          <w:szCs w:val="24"/>
          <w:lang w:eastAsia="zh-CN"/>
        </w:rPr>
      </w:pPr>
      <w:r>
        <w:rPr>
          <w:rFonts w:ascii="宋体" w:hAnsi="宋体" w:eastAsia="宋体" w:cs="Times New Roman"/>
          <w:szCs w:val="24"/>
        </w:rPr>
        <w:t>采购需求：</w:t>
      </w:r>
      <w:bookmarkStart w:id="12" w:name="_Hlk216771531"/>
      <w:r>
        <w:rPr>
          <w:rFonts w:hint="eastAsia" w:cs="Times New Roman"/>
          <w:szCs w:val="24"/>
          <w:lang w:val="en-US" w:eastAsia="zh-CN"/>
        </w:rPr>
        <w:t>江苏第二师范学院草场门校区卫生所医疗卫生服务托管</w:t>
      </w:r>
      <w:r>
        <w:rPr>
          <w:rFonts w:hint="eastAsia" w:ascii="宋体" w:hAnsi="宋体" w:eastAsia="宋体" w:cs="Times New Roman"/>
          <w:szCs w:val="24"/>
        </w:rPr>
        <w:t>，详见采购文件</w:t>
      </w:r>
      <w:r>
        <w:rPr>
          <w:rFonts w:hint="eastAsia" w:ascii="宋体" w:hAnsi="宋体" w:eastAsia="宋体" w:cs="Times New Roman"/>
          <w:szCs w:val="24"/>
          <w:lang w:eastAsia="zh-CN"/>
        </w:rPr>
        <w:t>项目</w:t>
      </w:r>
      <w:r>
        <w:rPr>
          <w:rFonts w:hint="eastAsia" w:ascii="宋体" w:hAnsi="宋体" w:eastAsia="宋体" w:cs="Times New Roman"/>
          <w:szCs w:val="24"/>
        </w:rPr>
        <w:t>需求</w:t>
      </w:r>
      <w:bookmarkEnd w:id="12"/>
      <w:bookmarkStart w:id="13" w:name="_Hlk216771554"/>
      <w:r>
        <w:rPr>
          <w:rFonts w:hint="eastAsia" w:ascii="宋体" w:hAnsi="宋体" w:eastAsia="宋体" w:cs="Times New Roman"/>
          <w:szCs w:val="24"/>
          <w:lang w:eastAsia="zh-CN"/>
        </w:rPr>
        <w:t>。</w:t>
      </w:r>
    </w:p>
    <w:p w14:paraId="213067AA">
      <w:pPr>
        <w:pStyle w:val="198"/>
        <w:spacing w:before="75" w:beforeAutospacing="0" w:after="75" w:afterAutospacing="0" w:line="348" w:lineRule="auto"/>
        <w:ind w:firstLine="555"/>
        <w:rPr>
          <w:rFonts w:hint="eastAsia" w:eastAsia="宋体"/>
          <w:lang w:val="en-US" w:eastAsia="zh-CN"/>
        </w:rPr>
      </w:pPr>
      <w:r>
        <w:t>合同履行期限：</w:t>
      </w:r>
      <w:r>
        <w:rPr>
          <w:rFonts w:hint="eastAsia"/>
          <w:lang w:val="en-US" w:eastAsia="zh-CN"/>
        </w:rPr>
        <w:t>自</w:t>
      </w:r>
      <w:r>
        <w:rPr>
          <w:rFonts w:hint="eastAsia"/>
        </w:rPr>
        <w:t>2026</w:t>
      </w:r>
      <w:r>
        <w:rPr>
          <w:rFonts w:hint="eastAsia"/>
          <w:lang w:val="en-US" w:eastAsia="zh-CN"/>
        </w:rPr>
        <w:t>年</w:t>
      </w:r>
      <w:r>
        <w:rPr>
          <w:rFonts w:hint="eastAsia"/>
        </w:rPr>
        <w:t>11</w:t>
      </w:r>
      <w:r>
        <w:rPr>
          <w:rFonts w:hint="eastAsia"/>
          <w:lang w:val="en-US" w:eastAsia="zh-CN"/>
        </w:rPr>
        <w:t>月</w:t>
      </w:r>
      <w:r>
        <w:rPr>
          <w:rFonts w:hint="eastAsia"/>
        </w:rPr>
        <w:t>8</w:t>
      </w:r>
      <w:r>
        <w:rPr>
          <w:rFonts w:hint="eastAsia"/>
          <w:lang w:val="en-US" w:eastAsia="zh-CN"/>
        </w:rPr>
        <w:t>日起至</w:t>
      </w:r>
      <w:r>
        <w:rPr>
          <w:rFonts w:hint="eastAsia"/>
        </w:rPr>
        <w:t>2029</w:t>
      </w:r>
      <w:r>
        <w:rPr>
          <w:rFonts w:hint="eastAsia"/>
          <w:lang w:val="en-US" w:eastAsia="zh-CN"/>
        </w:rPr>
        <w:t>年</w:t>
      </w:r>
      <w:r>
        <w:rPr>
          <w:rFonts w:hint="eastAsia"/>
        </w:rPr>
        <w:t>7</w:t>
      </w:r>
      <w:r>
        <w:rPr>
          <w:rFonts w:hint="eastAsia"/>
          <w:lang w:val="en-US" w:eastAsia="zh-CN"/>
        </w:rPr>
        <w:t>月</w:t>
      </w:r>
      <w:r>
        <w:rPr>
          <w:rFonts w:hint="eastAsia"/>
        </w:rPr>
        <w:t>31</w:t>
      </w:r>
      <w:r>
        <w:rPr>
          <w:rFonts w:hint="eastAsia"/>
          <w:lang w:val="en-US" w:eastAsia="zh-CN"/>
        </w:rPr>
        <w:t>日。</w:t>
      </w:r>
    </w:p>
    <w:bookmarkEnd w:id="13"/>
    <w:p w14:paraId="281DC23C">
      <w:pPr>
        <w:spacing w:line="348" w:lineRule="auto"/>
        <w:rPr>
          <w:rFonts w:ascii="宋体" w:hAnsi="宋体"/>
          <w:b/>
          <w:sz w:val="24"/>
          <w:szCs w:val="24"/>
        </w:rPr>
      </w:pPr>
      <w:r>
        <w:rPr>
          <w:rFonts w:hint="eastAsia" w:ascii="宋体" w:hAnsi="宋体"/>
          <w:b/>
          <w:sz w:val="24"/>
          <w:szCs w:val="24"/>
        </w:rPr>
        <w:t>二、申请人的资格要求</w:t>
      </w:r>
      <w:bookmarkEnd w:id="7"/>
      <w:bookmarkEnd w:id="8"/>
      <w:bookmarkEnd w:id="9"/>
      <w:bookmarkEnd w:id="10"/>
    </w:p>
    <w:p w14:paraId="0346EF5F">
      <w:pPr>
        <w:spacing w:line="348" w:lineRule="auto"/>
        <w:ind w:firstLine="480"/>
        <w:rPr>
          <w:rFonts w:hint="eastAsia" w:ascii="宋体" w:hAnsi="宋体" w:cs="宋体"/>
          <w:sz w:val="24"/>
        </w:rPr>
      </w:pPr>
      <w:bookmarkStart w:id="14" w:name="_Hlk216771586"/>
      <w:bookmarkStart w:id="15" w:name="_Toc35393623"/>
      <w:bookmarkStart w:id="16" w:name="_Toc28359004"/>
      <w:bookmarkStart w:id="17" w:name="_Toc28359081"/>
      <w:bookmarkStart w:id="18" w:name="_Toc35393792"/>
      <w:r>
        <w:rPr>
          <w:rFonts w:hint="eastAsia" w:ascii="宋体" w:hAnsi="宋体" w:cs="宋体"/>
          <w:sz w:val="24"/>
        </w:rPr>
        <w:t>（一）通用资格要求</w:t>
      </w:r>
    </w:p>
    <w:p w14:paraId="7EF810BE">
      <w:pPr>
        <w:spacing w:line="348" w:lineRule="auto"/>
        <w:ind w:firstLine="480"/>
        <w:rPr>
          <w:rFonts w:hint="eastAsia" w:ascii="宋体" w:hAnsi="宋体" w:cs="宋体"/>
          <w:sz w:val="24"/>
        </w:rPr>
      </w:pPr>
      <w:r>
        <w:rPr>
          <w:rFonts w:hint="eastAsia" w:ascii="宋体" w:hAnsi="宋体" w:cs="宋体"/>
          <w:sz w:val="24"/>
        </w:rPr>
        <w:t>1、满足《中华人民共和国政府采购法》第二十二条规定，并提供下列材料：</w:t>
      </w:r>
    </w:p>
    <w:p w14:paraId="58A9553A">
      <w:pPr>
        <w:widowControl/>
        <w:spacing w:line="348" w:lineRule="auto"/>
        <w:ind w:firstLine="480"/>
        <w:rPr>
          <w:rFonts w:hint="eastAsia" w:ascii="宋体" w:hAnsi="宋体"/>
          <w:sz w:val="24"/>
        </w:rPr>
      </w:pPr>
      <w:r>
        <w:rPr>
          <w:rFonts w:hint="eastAsia" w:ascii="宋体" w:hAnsi="宋体"/>
          <w:sz w:val="24"/>
        </w:rPr>
        <w:t>1.1</w:t>
      </w:r>
      <w:r>
        <w:rPr>
          <w:rFonts w:ascii="宋体" w:hAnsi="宋体"/>
          <w:sz w:val="24"/>
        </w:rPr>
        <w:t>具有独立承担民事责任的能力</w:t>
      </w:r>
      <w:r>
        <w:rPr>
          <w:rFonts w:hint="eastAsia" w:ascii="宋体" w:hAnsi="宋体"/>
          <w:sz w:val="24"/>
        </w:rPr>
        <w:t>（提供</w:t>
      </w:r>
      <w:r>
        <w:rPr>
          <w:rFonts w:ascii="宋体" w:hAnsi="宋体"/>
          <w:sz w:val="24"/>
        </w:rPr>
        <w:t>法人或者其他组织的营业执照</w:t>
      </w:r>
      <w:r>
        <w:rPr>
          <w:rFonts w:hint="eastAsia" w:ascii="宋体" w:hAnsi="宋体"/>
          <w:sz w:val="24"/>
        </w:rPr>
        <w:t>，</w:t>
      </w:r>
      <w:r>
        <w:rPr>
          <w:rFonts w:ascii="宋体" w:hAnsi="宋体"/>
          <w:sz w:val="24"/>
        </w:rPr>
        <w:t>自然人的身份证明</w:t>
      </w:r>
      <w:r>
        <w:rPr>
          <w:rFonts w:hint="eastAsia" w:ascii="宋体" w:hAnsi="宋体"/>
          <w:sz w:val="24"/>
        </w:rPr>
        <w:t>）</w:t>
      </w:r>
      <w:r>
        <w:rPr>
          <w:rFonts w:ascii="宋体" w:hAnsi="宋体"/>
          <w:sz w:val="24"/>
        </w:rPr>
        <w:t>；</w:t>
      </w:r>
    </w:p>
    <w:p w14:paraId="43375218">
      <w:pPr>
        <w:widowControl/>
        <w:spacing w:line="348" w:lineRule="auto"/>
        <w:ind w:firstLine="480"/>
        <w:rPr>
          <w:rFonts w:hint="eastAsia" w:ascii="宋体" w:hAnsi="宋体"/>
          <w:sz w:val="24"/>
        </w:rPr>
      </w:pPr>
      <w:r>
        <w:rPr>
          <w:rFonts w:hint="eastAsia" w:ascii="宋体" w:hAnsi="宋体"/>
          <w:sz w:val="24"/>
        </w:rPr>
        <w:t>1.2</w:t>
      </w:r>
      <w:r>
        <w:rPr>
          <w:rFonts w:ascii="宋体" w:hAnsi="宋体"/>
          <w:sz w:val="24"/>
        </w:rPr>
        <w:t>具有良好的商业信誉和健全的财务会计制度</w:t>
      </w:r>
      <w:r>
        <w:rPr>
          <w:rFonts w:hint="eastAsia" w:ascii="宋体" w:hAnsi="宋体"/>
          <w:sz w:val="24"/>
        </w:rPr>
        <w:t>（提供2024年度</w:t>
      </w:r>
      <w:r>
        <w:rPr>
          <w:rFonts w:hint="eastAsia" w:ascii="宋体" w:hAnsi="宋体"/>
          <w:sz w:val="24"/>
          <w:lang w:val="en-US" w:eastAsia="zh-CN"/>
        </w:rPr>
        <w:t>或2025年度</w:t>
      </w:r>
      <w:r>
        <w:rPr>
          <w:rFonts w:hint="eastAsia" w:ascii="宋体" w:hAnsi="宋体"/>
          <w:sz w:val="24"/>
        </w:rPr>
        <w:t>的财务审计报告或提交投标文件截止时间前六个月中任意一月份的财务报表（至少包括资产负债表和利润表）复印件或提交投标文件截止时间前六个月内银行出具的资信证明（法人或者其他组织成立未满三个月的可以不提供））</w:t>
      </w:r>
      <w:r>
        <w:rPr>
          <w:rFonts w:ascii="宋体" w:hAnsi="宋体"/>
          <w:sz w:val="24"/>
        </w:rPr>
        <w:t>；</w:t>
      </w:r>
    </w:p>
    <w:p w14:paraId="1270BD14">
      <w:pPr>
        <w:widowControl/>
        <w:spacing w:line="348" w:lineRule="auto"/>
        <w:ind w:firstLine="480"/>
        <w:rPr>
          <w:rFonts w:hint="eastAsia" w:ascii="宋体" w:hAnsi="宋体"/>
          <w:sz w:val="24"/>
        </w:rPr>
      </w:pPr>
      <w:r>
        <w:rPr>
          <w:rFonts w:hint="eastAsia" w:ascii="宋体" w:hAnsi="宋体"/>
          <w:sz w:val="24"/>
        </w:rPr>
        <w:t>1.3</w:t>
      </w:r>
      <w:r>
        <w:rPr>
          <w:rFonts w:ascii="宋体" w:hAnsi="宋体"/>
          <w:sz w:val="24"/>
        </w:rPr>
        <w:t>具有履行合同所必需的设备和专业技术能力</w:t>
      </w:r>
      <w:r>
        <w:rPr>
          <w:rFonts w:hint="eastAsia" w:ascii="宋体" w:hAnsi="宋体"/>
          <w:sz w:val="24"/>
        </w:rPr>
        <w:t>（根据项目需求提供履行合同所必需的设备和专业技术能力的证明材料）；</w:t>
      </w:r>
    </w:p>
    <w:p w14:paraId="5FC4B08E">
      <w:pPr>
        <w:widowControl/>
        <w:spacing w:line="348" w:lineRule="auto"/>
        <w:ind w:firstLine="480"/>
        <w:rPr>
          <w:rFonts w:hint="eastAsia" w:ascii="宋体" w:hAnsi="宋体"/>
          <w:sz w:val="24"/>
        </w:rPr>
      </w:pPr>
      <w:r>
        <w:rPr>
          <w:rFonts w:hint="eastAsia" w:ascii="宋体" w:hAnsi="宋体"/>
          <w:sz w:val="24"/>
        </w:rPr>
        <w:t>1.4</w:t>
      </w:r>
      <w:r>
        <w:rPr>
          <w:rFonts w:ascii="宋体" w:hAnsi="宋体"/>
          <w:sz w:val="24"/>
        </w:rPr>
        <w:t>有依法缴纳税收和社会保障资金的良好记录</w:t>
      </w:r>
      <w:r>
        <w:rPr>
          <w:rFonts w:hint="eastAsia" w:ascii="宋体" w:hAnsi="宋体"/>
          <w:sz w:val="24"/>
        </w:rPr>
        <w:t>（提供参加本项目提交投标文件截止时间前六个月内（至少一个月）</w:t>
      </w:r>
      <w:r>
        <w:rPr>
          <w:rFonts w:ascii="宋体" w:hAnsi="宋体"/>
          <w:sz w:val="24"/>
        </w:rPr>
        <w:t>依法缴纳税收和社会保障资金的相关材料</w:t>
      </w:r>
      <w:r>
        <w:rPr>
          <w:rFonts w:hint="eastAsia" w:ascii="宋体" w:hAnsi="宋体"/>
          <w:sz w:val="24"/>
        </w:rPr>
        <w:t>）</w:t>
      </w:r>
      <w:r>
        <w:rPr>
          <w:rFonts w:ascii="宋体" w:hAnsi="宋体"/>
          <w:sz w:val="24"/>
        </w:rPr>
        <w:t>；</w:t>
      </w:r>
    </w:p>
    <w:p w14:paraId="7F13E212">
      <w:pPr>
        <w:widowControl/>
        <w:spacing w:line="348" w:lineRule="auto"/>
        <w:ind w:firstLine="480"/>
        <w:rPr>
          <w:rFonts w:hint="eastAsia" w:ascii="宋体" w:hAnsi="宋体"/>
          <w:sz w:val="24"/>
        </w:rPr>
      </w:pPr>
      <w:r>
        <w:rPr>
          <w:rFonts w:hint="eastAsia" w:ascii="宋体" w:hAnsi="宋体"/>
          <w:sz w:val="24"/>
        </w:rPr>
        <w:t>1.5</w:t>
      </w:r>
      <w:r>
        <w:rPr>
          <w:rFonts w:ascii="宋体" w:hAnsi="宋体"/>
          <w:sz w:val="24"/>
        </w:rPr>
        <w:t>参加政府采购活动前三年内，在经营活动中没有重大违法记录</w:t>
      </w:r>
      <w:r>
        <w:rPr>
          <w:rFonts w:hint="eastAsia" w:ascii="宋体" w:hAnsi="宋体"/>
          <w:sz w:val="24"/>
        </w:rPr>
        <w:t>（提供</w:t>
      </w:r>
      <w:r>
        <w:rPr>
          <w:rFonts w:ascii="宋体" w:hAnsi="宋体"/>
          <w:sz w:val="24"/>
        </w:rPr>
        <w:t>参加</w:t>
      </w:r>
      <w:r>
        <w:rPr>
          <w:rFonts w:hint="eastAsia" w:ascii="宋体" w:hAnsi="宋体"/>
          <w:sz w:val="24"/>
        </w:rPr>
        <w:t>本次</w:t>
      </w:r>
      <w:r>
        <w:rPr>
          <w:rFonts w:ascii="宋体" w:hAnsi="宋体"/>
          <w:sz w:val="24"/>
        </w:rPr>
        <w:t>政府采购活动前3年内在经营活动中没有重大违法记录的书面声明</w:t>
      </w:r>
      <w:r>
        <w:rPr>
          <w:rFonts w:hint="eastAsia" w:ascii="宋体" w:hAnsi="宋体"/>
          <w:sz w:val="24"/>
        </w:rPr>
        <w:t>）</w:t>
      </w:r>
      <w:r>
        <w:rPr>
          <w:rFonts w:ascii="宋体" w:hAnsi="宋体"/>
          <w:sz w:val="24"/>
        </w:rPr>
        <w:t>；</w:t>
      </w:r>
    </w:p>
    <w:p w14:paraId="0F330718">
      <w:pPr>
        <w:widowControl/>
        <w:spacing w:line="348" w:lineRule="auto"/>
        <w:ind w:firstLine="480"/>
        <w:rPr>
          <w:rFonts w:ascii="宋体" w:hAnsi="宋体"/>
          <w:sz w:val="24"/>
        </w:rPr>
      </w:pPr>
      <w:r>
        <w:rPr>
          <w:rFonts w:hint="eastAsia" w:ascii="宋体" w:hAnsi="宋体"/>
          <w:sz w:val="24"/>
        </w:rPr>
        <w:t>1.6</w:t>
      </w:r>
      <w:r>
        <w:rPr>
          <w:rFonts w:ascii="宋体" w:hAnsi="宋体"/>
          <w:sz w:val="24"/>
        </w:rPr>
        <w:t>法律、行政法规规定的其他条件</w:t>
      </w:r>
      <w:r>
        <w:rPr>
          <w:rFonts w:hint="eastAsia" w:ascii="宋体" w:hAnsi="宋体"/>
          <w:sz w:val="24"/>
        </w:rPr>
        <w:t>。</w:t>
      </w:r>
    </w:p>
    <w:p w14:paraId="07DB20EE">
      <w:pPr>
        <w:spacing w:line="348" w:lineRule="auto"/>
        <w:ind w:firstLine="480"/>
        <w:rPr>
          <w:rFonts w:hint="eastAsia" w:ascii="宋体" w:hAnsi="宋体" w:cs="宋体"/>
          <w:sz w:val="24"/>
        </w:rPr>
      </w:pPr>
      <w:r>
        <w:rPr>
          <w:rFonts w:hint="eastAsia" w:ascii="宋体" w:hAnsi="宋体" w:cs="宋体"/>
          <w:sz w:val="24"/>
        </w:rPr>
        <w:t>2、拒绝下述供应商参加本次采购活动：</w:t>
      </w:r>
    </w:p>
    <w:p w14:paraId="2200AAFA">
      <w:pPr>
        <w:spacing w:line="348" w:lineRule="auto"/>
        <w:ind w:firstLine="480"/>
        <w:rPr>
          <w:rFonts w:hint="eastAsia" w:ascii="宋体" w:hAnsi="宋体" w:cs="宋体"/>
          <w:sz w:val="24"/>
        </w:rPr>
      </w:pPr>
      <w:r>
        <w:rPr>
          <w:rFonts w:hint="eastAsia" w:ascii="宋体" w:hAnsi="宋体" w:cs="宋体"/>
          <w:sz w:val="24"/>
        </w:rPr>
        <w:t>2.1 供应商单位负责人为同一人或者存在直接控股、管理关系的不同供应商，不得参加同一合同项下的政府采购活动。</w:t>
      </w:r>
    </w:p>
    <w:p w14:paraId="62814F36">
      <w:pPr>
        <w:spacing w:line="348" w:lineRule="auto"/>
        <w:ind w:firstLine="480"/>
        <w:rPr>
          <w:rFonts w:hint="eastAsia" w:ascii="宋体" w:hAnsi="宋体" w:cs="宋体"/>
          <w:sz w:val="24"/>
        </w:rPr>
      </w:pPr>
      <w:r>
        <w:rPr>
          <w:rFonts w:hint="eastAsia" w:ascii="宋体" w:hAnsi="宋体" w:cs="宋体"/>
          <w:sz w:val="24"/>
        </w:rPr>
        <w:t>2.2 凡为采购项目提供整体设计、规范编制或者项目管理、监理、检测等服务的供应商，不得再参加该项目的其他采购活动。</w:t>
      </w:r>
    </w:p>
    <w:p w14:paraId="31D6F4A0">
      <w:pPr>
        <w:spacing w:line="348" w:lineRule="auto"/>
        <w:ind w:firstLine="480"/>
        <w:rPr>
          <w:rFonts w:ascii="宋体" w:hAnsi="宋体"/>
          <w:sz w:val="24"/>
          <w:szCs w:val="24"/>
        </w:rPr>
      </w:pPr>
      <w:r>
        <w:rPr>
          <w:rFonts w:hint="eastAsia" w:ascii="宋体" w:hAnsi="宋体" w:cs="宋体"/>
          <w:sz w:val="24"/>
        </w:rPr>
        <w:t xml:space="preserve">2.3 </w:t>
      </w:r>
      <w:r>
        <w:rPr>
          <w:rFonts w:hint="eastAsia" w:ascii="宋体" w:hAnsi="宋体"/>
          <w:sz w:val="24"/>
          <w:szCs w:val="24"/>
        </w:rPr>
        <w:t>供应商被“信用中国”网站（www.creditchina.gov.cn）列入失信被执行人、重大税收违法案件当事人名单、政府采购严重违法失信行为记录名单。</w:t>
      </w:r>
    </w:p>
    <w:p w14:paraId="333FBF3C">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3、落实政府采购政策需满足的资格要求：</w:t>
      </w:r>
    </w:p>
    <w:p w14:paraId="7608B261">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本项目按照以下第(</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 xml:space="preserve">)种方式落实政府采购促进中小企业发展的要求： </w:t>
      </w:r>
    </w:p>
    <w:p w14:paraId="22BB92A7">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（1）本项目整体专门面向中小企业采购服务。 </w:t>
      </w:r>
    </w:p>
    <w:p w14:paraId="0984F476">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（2）本项目整体专门面向小微企业采购服务。 </w:t>
      </w:r>
    </w:p>
    <w:p w14:paraId="22D2A83D">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（3）本项目通过以下第（/） 种方式预留部分采购份额采购中小企业服务： </w:t>
      </w:r>
    </w:p>
    <w:p w14:paraId="06A389F7">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①要求投标人以联合体形式参加，企业合同金额应当达到的比例为/%。 </w:t>
      </w:r>
    </w:p>
    <w:p w14:paraId="5282C0E0">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②要求投标人进行合同分包，企业合同金额应当达到的比例为/%。 </w:t>
      </w:r>
    </w:p>
    <w:p w14:paraId="4E81C396">
      <w:pPr>
        <w:spacing w:line="348" w:lineRule="auto"/>
        <w:ind w:firstLine="480"/>
        <w:rPr>
          <w:rFonts w:hint="eastAsia" w:ascii="宋体" w:hAnsi="宋体" w:eastAsia="宋体" w:cs="Times New Roman"/>
          <w:sz w:val="24"/>
          <w:szCs w:val="24"/>
        </w:rPr>
      </w:pPr>
      <w:r>
        <w:rPr>
          <w:rFonts w:hint="eastAsia" w:ascii="宋体" w:hAnsi="宋体" w:eastAsia="宋体" w:cs="Times New Roman"/>
          <w:sz w:val="24"/>
          <w:szCs w:val="24"/>
        </w:rPr>
        <w:t>（4）本项目为非预留份额的采购项目或采购包，执行价格扣除优惠政策，具体详见评标办法与标准。</w:t>
      </w:r>
    </w:p>
    <w:p w14:paraId="6BC4267B">
      <w:pPr>
        <w:spacing w:line="348" w:lineRule="auto"/>
        <w:ind w:firstLine="480"/>
        <w:rPr>
          <w:rFonts w:hint="eastAsia"/>
        </w:rPr>
      </w:pPr>
      <w:r>
        <w:rPr>
          <w:rFonts w:hint="eastAsia" w:ascii="宋体" w:hAnsi="宋体" w:eastAsia="宋体" w:cs="Times New Roman"/>
          <w:sz w:val="24"/>
          <w:szCs w:val="24"/>
          <w:highlight w:val="none"/>
        </w:rPr>
        <w:t>本项目</w:t>
      </w:r>
      <w:r>
        <w:rPr>
          <w:rFonts w:hint="eastAsia" w:ascii="宋体" w:hAnsi="宋体" w:eastAsia="宋体" w:cs="Times New Roman"/>
          <w:sz w:val="24"/>
          <w:szCs w:val="24"/>
        </w:rPr>
        <w:t>采购标的对应的中小企业划分标准所属行业为：其他未列明行业。</w:t>
      </w:r>
    </w:p>
    <w:p w14:paraId="3A9F90B0">
      <w:pPr>
        <w:spacing w:line="348" w:lineRule="auto"/>
        <w:ind w:firstLine="480"/>
        <w:rPr>
          <w:rFonts w:hint="eastAsia" w:ascii="宋体" w:hAnsi="宋体" w:cs="宋体"/>
          <w:sz w:val="24"/>
        </w:rPr>
      </w:pPr>
      <w:r>
        <w:rPr>
          <w:rFonts w:hint="eastAsia" w:ascii="宋体" w:hAnsi="宋体" w:cs="宋体"/>
          <w:sz w:val="24"/>
        </w:rPr>
        <w:t>4、本项目</w:t>
      </w:r>
      <w:r>
        <w:rPr>
          <w:rFonts w:hint="eastAsia" w:ascii="宋体" w:hAnsi="宋体" w:cs="宋体"/>
          <w:b/>
          <w:bCs/>
          <w:sz w:val="24"/>
          <w:u w:val="single"/>
        </w:rPr>
        <w:t>不接受</w:t>
      </w:r>
      <w:r>
        <w:rPr>
          <w:rFonts w:hint="eastAsia" w:ascii="宋体" w:hAnsi="宋体" w:cs="宋体"/>
          <w:sz w:val="24"/>
        </w:rPr>
        <w:t>联合体投标。</w:t>
      </w:r>
    </w:p>
    <w:p w14:paraId="2F2F7F30">
      <w:pPr>
        <w:spacing w:line="348" w:lineRule="auto"/>
        <w:ind w:firstLine="480"/>
        <w:rPr>
          <w:rFonts w:ascii="宋体" w:hAnsi="宋体" w:cs="宋体"/>
          <w:sz w:val="24"/>
        </w:rPr>
      </w:pPr>
      <w:r>
        <w:rPr>
          <w:rFonts w:hint="eastAsia" w:ascii="宋体" w:hAnsi="宋体" w:cs="宋体"/>
          <w:sz w:val="24"/>
        </w:rPr>
        <w:t>（二）本项目的特定资格要求：无</w:t>
      </w:r>
    </w:p>
    <w:bookmarkEnd w:id="14"/>
    <w:p w14:paraId="50523EFF">
      <w:pPr>
        <w:spacing w:line="348" w:lineRule="auto"/>
        <w:rPr>
          <w:rFonts w:ascii="宋体" w:hAnsi="宋体"/>
          <w:b/>
          <w:sz w:val="24"/>
          <w:szCs w:val="24"/>
        </w:rPr>
      </w:pPr>
      <w:r>
        <w:rPr>
          <w:rFonts w:hint="eastAsia" w:ascii="宋体" w:hAnsi="宋体"/>
          <w:b/>
          <w:sz w:val="24"/>
          <w:szCs w:val="24"/>
        </w:rPr>
        <w:t>三、获取招标文件</w:t>
      </w:r>
      <w:bookmarkEnd w:id="15"/>
      <w:bookmarkEnd w:id="16"/>
      <w:bookmarkEnd w:id="17"/>
      <w:bookmarkEnd w:id="18"/>
    </w:p>
    <w:p w14:paraId="4846ACCA">
      <w:pPr>
        <w:spacing w:line="348" w:lineRule="auto"/>
        <w:ind w:firstLine="480"/>
        <w:rPr>
          <w:rFonts w:hint="eastAsia" w:ascii="宋体" w:hAnsi="宋体"/>
          <w:sz w:val="24"/>
          <w:szCs w:val="24"/>
        </w:rPr>
      </w:pPr>
      <w:bookmarkStart w:id="19" w:name="_Toc28359005"/>
      <w:bookmarkStart w:id="20" w:name="_Toc28359082"/>
      <w:bookmarkStart w:id="21" w:name="_Toc35393793"/>
      <w:bookmarkStart w:id="22" w:name="_Toc35393624"/>
      <w:r>
        <w:rPr>
          <w:rFonts w:hint="eastAsia" w:ascii="宋体" w:hAnsi="宋体"/>
          <w:sz w:val="24"/>
          <w:szCs w:val="24"/>
        </w:rPr>
        <w:t>1、时间：自招标文件公告发布之日起5个工作日</w:t>
      </w:r>
    </w:p>
    <w:p w14:paraId="09AEFFF9">
      <w:pPr>
        <w:spacing w:line="348" w:lineRule="auto"/>
        <w:ind w:firstLine="480"/>
        <w:rPr>
          <w:rFonts w:hint="eastAsia" w:ascii="宋体" w:hAnsi="宋体"/>
          <w:sz w:val="24"/>
          <w:szCs w:val="24"/>
        </w:rPr>
      </w:pPr>
      <w:r>
        <w:rPr>
          <w:rFonts w:hint="eastAsia" w:ascii="宋体" w:hAnsi="宋体"/>
          <w:sz w:val="24"/>
          <w:szCs w:val="24"/>
        </w:rPr>
        <w:t>2、地点：“江苏政府采购网”自行免费下载</w:t>
      </w:r>
    </w:p>
    <w:p w14:paraId="2C05CD78">
      <w:pPr>
        <w:spacing w:line="348" w:lineRule="auto"/>
        <w:ind w:firstLine="480"/>
        <w:rPr>
          <w:rFonts w:hint="eastAsia" w:ascii="宋体" w:hAnsi="宋体"/>
          <w:sz w:val="24"/>
          <w:szCs w:val="24"/>
        </w:rPr>
      </w:pPr>
      <w:r>
        <w:rPr>
          <w:rFonts w:hint="eastAsia" w:ascii="宋体" w:hAnsi="宋体"/>
          <w:sz w:val="24"/>
          <w:szCs w:val="24"/>
        </w:rPr>
        <w:t>3、方式：本项目采用网上注册登记方式</w:t>
      </w:r>
    </w:p>
    <w:p w14:paraId="037AE000">
      <w:pPr>
        <w:spacing w:line="348" w:lineRule="auto"/>
        <w:ind w:firstLine="480"/>
        <w:rPr>
          <w:rFonts w:hint="eastAsia" w:ascii="宋体" w:hAnsi="宋体"/>
          <w:sz w:val="24"/>
          <w:szCs w:val="24"/>
        </w:rPr>
      </w:pPr>
      <w:r>
        <w:rPr>
          <w:rFonts w:hint="eastAsia" w:ascii="宋体" w:hAnsi="宋体"/>
          <w:sz w:val="24"/>
          <w:szCs w:val="24"/>
        </w:rPr>
        <w:t>4、售价：0.00元</w:t>
      </w:r>
    </w:p>
    <w:p w14:paraId="37253AE7">
      <w:pPr>
        <w:spacing w:line="348" w:lineRule="auto"/>
        <w:rPr>
          <w:rFonts w:ascii="宋体" w:hAnsi="宋体"/>
          <w:b/>
          <w:sz w:val="24"/>
          <w:szCs w:val="24"/>
        </w:rPr>
      </w:pPr>
      <w:r>
        <w:rPr>
          <w:rFonts w:hint="eastAsia" w:ascii="宋体" w:hAnsi="宋体"/>
          <w:b/>
          <w:sz w:val="24"/>
          <w:szCs w:val="24"/>
        </w:rPr>
        <w:t>四、提交投标文件</w:t>
      </w:r>
      <w:bookmarkEnd w:id="19"/>
      <w:bookmarkEnd w:id="20"/>
      <w:r>
        <w:rPr>
          <w:rFonts w:hint="eastAsia" w:ascii="宋体" w:hAnsi="宋体"/>
          <w:b/>
          <w:sz w:val="24"/>
          <w:szCs w:val="24"/>
        </w:rPr>
        <w:t>截止时间、开标时间和地点</w:t>
      </w:r>
      <w:bookmarkEnd w:id="21"/>
      <w:bookmarkEnd w:id="22"/>
    </w:p>
    <w:p w14:paraId="2406197D">
      <w:pPr>
        <w:spacing w:line="348" w:lineRule="auto"/>
        <w:ind w:firstLine="480"/>
        <w:rPr>
          <w:rFonts w:ascii="宋体" w:hAnsi="宋体"/>
          <w:sz w:val="24"/>
          <w:szCs w:val="24"/>
        </w:rPr>
      </w:pPr>
      <w:bookmarkStart w:id="23" w:name="_Toc35393625"/>
      <w:bookmarkStart w:id="24" w:name="_Toc35393794"/>
      <w:bookmarkStart w:id="25" w:name="_Toc28359007"/>
      <w:bookmarkStart w:id="26" w:name="_Toc28359084"/>
      <w:r>
        <w:rPr>
          <w:rFonts w:hint="eastAsia" w:ascii="宋体" w:hAnsi="宋体"/>
          <w:sz w:val="24"/>
          <w:szCs w:val="24"/>
        </w:rPr>
        <w:t>1、提交投标文件截止时间、开标时间：</w:t>
      </w:r>
      <w:r>
        <w:rPr>
          <w:rFonts w:ascii="宋体" w:hAnsi="宋体"/>
          <w:sz w:val="24"/>
          <w:szCs w:val="24"/>
        </w:rPr>
        <w:t>202</w:t>
      </w:r>
      <w:r>
        <w:rPr>
          <w:rFonts w:hint="eastAsia" w:ascii="宋体" w:hAnsi="宋体"/>
          <w:sz w:val="24"/>
          <w:szCs w:val="24"/>
        </w:rPr>
        <w:t>6</w:t>
      </w:r>
      <w:r>
        <w:rPr>
          <w:rFonts w:ascii="宋体" w:hAnsi="宋体"/>
          <w:sz w:val="24"/>
          <w:szCs w:val="24"/>
        </w:rPr>
        <w:t>年</w:t>
      </w:r>
      <w:r>
        <w:rPr>
          <w:rFonts w:hint="eastAsia" w:ascii="宋体" w:hAnsi="宋体"/>
          <w:sz w:val="24"/>
          <w:szCs w:val="24"/>
        </w:rPr>
        <w:t>0</w:t>
      </w:r>
      <w:r>
        <w:rPr>
          <w:rFonts w:hint="eastAsia" w:ascii="宋体" w:hAnsi="宋体"/>
          <w:sz w:val="24"/>
          <w:szCs w:val="24"/>
          <w:lang w:val="en-US" w:eastAsia="zh-CN"/>
        </w:rPr>
        <w:t>7</w:t>
      </w:r>
      <w:r>
        <w:rPr>
          <w:rFonts w:ascii="宋体" w:hAnsi="宋体"/>
          <w:sz w:val="24"/>
          <w:szCs w:val="24"/>
        </w:rPr>
        <w:t>月</w:t>
      </w:r>
      <w:r>
        <w:rPr>
          <w:rFonts w:hint="eastAsia" w:ascii="宋体" w:hAnsi="宋体"/>
          <w:sz w:val="24"/>
          <w:szCs w:val="24"/>
          <w:lang w:val="en-US" w:eastAsia="zh-CN"/>
        </w:rPr>
        <w:t>30</w:t>
      </w:r>
      <w:r>
        <w:rPr>
          <w:rFonts w:ascii="宋体" w:hAnsi="宋体"/>
          <w:sz w:val="24"/>
          <w:szCs w:val="24"/>
        </w:rPr>
        <w:t>日</w:t>
      </w:r>
      <w:r>
        <w:rPr>
          <w:rFonts w:hint="eastAsia" w:ascii="宋体" w:hAnsi="宋体"/>
          <w:sz w:val="24"/>
          <w:szCs w:val="24"/>
          <w:lang w:val="en-US" w:eastAsia="zh-CN"/>
        </w:rPr>
        <w:t>14</w:t>
      </w:r>
      <w:r>
        <w:rPr>
          <w:rFonts w:ascii="宋体" w:hAnsi="宋体"/>
          <w:sz w:val="24"/>
          <w:szCs w:val="24"/>
        </w:rPr>
        <w:t>时</w:t>
      </w:r>
      <w:r>
        <w:rPr>
          <w:rFonts w:hint="eastAsia" w:ascii="宋体" w:hAnsi="宋体"/>
          <w:sz w:val="24"/>
          <w:szCs w:val="24"/>
        </w:rPr>
        <w:t>0</w:t>
      </w:r>
      <w:r>
        <w:rPr>
          <w:rFonts w:ascii="宋体" w:hAnsi="宋体"/>
          <w:sz w:val="24"/>
          <w:szCs w:val="24"/>
        </w:rPr>
        <w:t>0分</w:t>
      </w:r>
      <w:r>
        <w:rPr>
          <w:rFonts w:hint="eastAsia" w:ascii="宋体" w:hAnsi="宋体"/>
          <w:sz w:val="24"/>
          <w:szCs w:val="24"/>
        </w:rPr>
        <w:t>（北京时间）。</w:t>
      </w:r>
    </w:p>
    <w:p w14:paraId="7E454E79">
      <w:pPr>
        <w:spacing w:line="348" w:lineRule="auto"/>
        <w:ind w:firstLine="480"/>
        <w:rPr>
          <w:rFonts w:ascii="宋体" w:hAnsi="宋体"/>
          <w:sz w:val="24"/>
          <w:szCs w:val="24"/>
        </w:rPr>
      </w:pPr>
      <w:r>
        <w:rPr>
          <w:rFonts w:hint="eastAsia" w:ascii="宋体" w:hAnsi="宋体"/>
          <w:sz w:val="24"/>
          <w:szCs w:val="24"/>
        </w:rPr>
        <w:t>2、地点：江苏省政府采购交易系统（以下简称“苏采云系统”）网上开标大厅。</w:t>
      </w:r>
    </w:p>
    <w:p w14:paraId="07698DCA">
      <w:pPr>
        <w:pStyle w:val="198"/>
        <w:spacing w:before="75" w:beforeAutospacing="0" w:after="75" w:afterAutospacing="0" w:line="348" w:lineRule="auto"/>
        <w:rPr>
          <w:b/>
          <w:szCs w:val="24"/>
        </w:rPr>
      </w:pPr>
      <w:r>
        <w:rPr>
          <w:b/>
          <w:szCs w:val="24"/>
        </w:rPr>
        <w:t>五、公告期限</w:t>
      </w:r>
      <w:bookmarkEnd w:id="23"/>
      <w:bookmarkEnd w:id="24"/>
      <w:bookmarkEnd w:id="25"/>
      <w:bookmarkEnd w:id="26"/>
    </w:p>
    <w:p w14:paraId="2698EAAC">
      <w:pPr>
        <w:spacing w:line="360" w:lineRule="auto"/>
        <w:ind w:firstLine="540"/>
        <w:rPr>
          <w:rFonts w:hint="eastAsia" w:ascii="宋体" w:hAnsi="宋体" w:cs="宋体"/>
          <w:szCs w:val="24"/>
        </w:rPr>
      </w:pPr>
      <w:r>
        <w:rPr>
          <w:rFonts w:hint="eastAsia" w:ascii="宋体" w:hAnsi="宋体" w:cs="宋体"/>
          <w:sz w:val="24"/>
        </w:rPr>
        <w:t>招标公告及招标文件公告期限为自本公告发布之日起5个工作日。</w:t>
      </w:r>
      <w:bookmarkStart w:id="27" w:name="_Toc35393626"/>
      <w:bookmarkStart w:id="28" w:name="_Toc35393795"/>
      <w:r>
        <w:rPr>
          <w:rFonts w:hint="eastAsia" w:ascii="宋体" w:hAnsi="宋体" w:cs="宋体"/>
          <w:sz w:val="24"/>
        </w:rPr>
        <w:t>5个工作日后仍可下载招标文件，但不作为供应商权益受到损害的证明材料和依据。</w:t>
      </w:r>
    </w:p>
    <w:p w14:paraId="54703FDD">
      <w:pPr>
        <w:spacing w:line="348" w:lineRule="auto"/>
        <w:rPr>
          <w:rFonts w:ascii="宋体" w:hAnsi="宋体"/>
          <w:b/>
          <w:sz w:val="24"/>
          <w:szCs w:val="24"/>
        </w:rPr>
      </w:pPr>
      <w:r>
        <w:rPr>
          <w:rFonts w:hint="eastAsia" w:ascii="宋体" w:hAnsi="宋体"/>
          <w:b/>
          <w:sz w:val="24"/>
          <w:szCs w:val="24"/>
        </w:rPr>
        <w:t>六、其他补充事宜</w:t>
      </w:r>
      <w:bookmarkEnd w:id="27"/>
      <w:bookmarkEnd w:id="28"/>
    </w:p>
    <w:p w14:paraId="770E848C">
      <w:pPr>
        <w:spacing w:line="348" w:lineRule="auto"/>
        <w:ind w:firstLine="480"/>
        <w:rPr>
          <w:rFonts w:hint="eastAsia" w:ascii="宋体" w:hAnsi="宋体"/>
          <w:b/>
          <w:sz w:val="24"/>
          <w:szCs w:val="24"/>
        </w:rPr>
      </w:pPr>
      <w:r>
        <w:rPr>
          <w:rFonts w:hint="eastAsia" w:ascii="宋体" w:hAnsi="宋体" w:cs="宋体"/>
          <w:sz w:val="24"/>
          <w:szCs w:val="24"/>
        </w:rPr>
        <w:t>1、本次招标不收取投标保证金。</w:t>
      </w:r>
    </w:p>
    <w:p w14:paraId="43C87700">
      <w:pPr>
        <w:spacing w:line="348" w:lineRule="auto"/>
        <w:ind w:firstLine="480"/>
        <w:rPr>
          <w:rFonts w:ascii="宋体" w:hAnsi="宋体" w:cs="宋体"/>
          <w:sz w:val="24"/>
          <w:szCs w:val="24"/>
        </w:rPr>
      </w:pPr>
      <w:r>
        <w:rPr>
          <w:rFonts w:hint="eastAsia" w:ascii="宋体" w:hAnsi="宋体" w:cs="宋体"/>
          <w:sz w:val="24"/>
          <w:szCs w:val="24"/>
        </w:rPr>
        <w:t>2、根据《关于在政府采购活动中推行信用承诺制的通知》宁财购通〔2021〕5号规定，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p>
    <w:p w14:paraId="55D0E3AE">
      <w:pPr>
        <w:spacing w:line="348" w:lineRule="auto"/>
        <w:rPr>
          <w:rFonts w:hint="eastAsia" w:ascii="宋体" w:hAnsi="宋体" w:cs="宋体"/>
          <w:sz w:val="24"/>
          <w:szCs w:val="24"/>
        </w:rPr>
      </w:pPr>
      <w:r>
        <w:rPr>
          <w:rFonts w:hint="eastAsia" w:ascii="宋体" w:hAnsi="宋体" w:cs="宋体"/>
          <w:sz w:val="24"/>
          <w:szCs w:val="24"/>
        </w:rPr>
        <w:t>（http://180.101.238.212:8280/hodeframe2018_cxda/index.action;jsessionid=769BA9C8E1729422E7173B991C8EC1E5）登录（未注册的供应商应先点击‘供应商注册点这里’并按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szCs w:val="24"/>
        </w:rPr>
        <w:t>注：下载打印日期从招标公告发布起至开标前。</w:t>
      </w:r>
    </w:p>
    <w:p w14:paraId="539D2C59">
      <w:pPr>
        <w:spacing w:line="348" w:lineRule="auto"/>
        <w:ind w:firstLine="480"/>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 </w:t>
      </w:r>
    </w:p>
    <w:p w14:paraId="3D0BDF20">
      <w:pPr>
        <w:spacing w:line="348" w:lineRule="auto"/>
        <w:ind w:firstLine="480"/>
        <w:rPr>
          <w:rFonts w:hint="eastAsia" w:ascii="宋体" w:hAnsi="宋体" w:cs="宋体"/>
          <w:sz w:val="24"/>
          <w:szCs w:val="24"/>
        </w:rPr>
      </w:pPr>
      <w:r>
        <w:rPr>
          <w:rFonts w:hint="eastAsia" w:ascii="宋体" w:hAnsi="宋体" w:cs="宋体"/>
          <w:sz w:val="24"/>
          <w:szCs w:val="24"/>
        </w:rPr>
        <w:t xml:space="preserve">（1）符合国家相关规定的财务状况报告； </w:t>
      </w:r>
    </w:p>
    <w:p w14:paraId="0CC8A7EA">
      <w:pPr>
        <w:spacing w:line="348" w:lineRule="auto"/>
        <w:ind w:firstLine="480"/>
        <w:rPr>
          <w:rFonts w:hint="eastAsia" w:ascii="宋体" w:hAnsi="宋体" w:cs="宋体"/>
          <w:sz w:val="24"/>
          <w:szCs w:val="24"/>
        </w:rPr>
      </w:pPr>
      <w:r>
        <w:rPr>
          <w:rFonts w:hint="eastAsia" w:ascii="宋体" w:hAnsi="宋体" w:cs="宋体"/>
          <w:sz w:val="24"/>
          <w:szCs w:val="24"/>
        </w:rPr>
        <w:t xml:space="preserve">（2）依法缴纳税收的证明材料； </w:t>
      </w:r>
    </w:p>
    <w:p w14:paraId="241C5E01">
      <w:pPr>
        <w:spacing w:line="348" w:lineRule="auto"/>
        <w:ind w:firstLine="480"/>
        <w:rPr>
          <w:rFonts w:hint="eastAsia" w:ascii="宋体" w:hAnsi="宋体" w:cs="宋体"/>
          <w:sz w:val="24"/>
          <w:szCs w:val="24"/>
        </w:rPr>
      </w:pPr>
      <w:r>
        <w:rPr>
          <w:rFonts w:hint="eastAsia" w:ascii="宋体" w:hAnsi="宋体" w:cs="宋体"/>
          <w:sz w:val="24"/>
          <w:szCs w:val="24"/>
        </w:rPr>
        <w:t xml:space="preserve">（3）依法缴纳社会保障资金的证明材料； </w:t>
      </w:r>
    </w:p>
    <w:p w14:paraId="6E9E9A42">
      <w:pPr>
        <w:spacing w:line="348" w:lineRule="auto"/>
        <w:ind w:firstLine="480"/>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 </w:t>
      </w:r>
    </w:p>
    <w:p w14:paraId="59148523">
      <w:pPr>
        <w:spacing w:line="348" w:lineRule="auto"/>
        <w:ind w:firstLine="480"/>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 </w:t>
      </w:r>
    </w:p>
    <w:p w14:paraId="1FA47EFA">
      <w:pPr>
        <w:spacing w:line="348" w:lineRule="auto"/>
        <w:ind w:firstLine="480"/>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 </w:t>
      </w:r>
    </w:p>
    <w:p w14:paraId="6187E95A">
      <w:pPr>
        <w:widowControl/>
        <w:shd w:val="clear" w:color="auto" w:fill="FFFFFF"/>
        <w:spacing w:line="348" w:lineRule="auto"/>
        <w:ind w:firstLine="482"/>
        <w:jc w:val="left"/>
        <w:rPr>
          <w:rFonts w:ascii="微软雅黑" w:hAnsi="微软雅黑" w:eastAsia="微软雅黑" w:cs="宋体"/>
          <w:sz w:val="24"/>
          <w:szCs w:val="24"/>
        </w:rPr>
      </w:pPr>
      <w:r>
        <w:rPr>
          <w:rFonts w:hint="eastAsia" w:ascii="宋体" w:hAnsi="宋体" w:cs="宋体"/>
          <w:b/>
          <w:bCs/>
          <w:sz w:val="24"/>
          <w:szCs w:val="24"/>
        </w:rPr>
        <w:t>以上涉及的证明材料，投标人可以在投标文件中一次性提交，也可以在投标文件中提供满足相应条件的书面信用承诺书（详见投标文件格式附格式四），不再需要提供上述涉及的证明材料。</w:t>
      </w:r>
    </w:p>
    <w:p w14:paraId="5314BB3F">
      <w:pPr>
        <w:widowControl/>
        <w:shd w:val="clear" w:color="auto" w:fill="FFFFFF"/>
        <w:spacing w:line="348" w:lineRule="auto"/>
        <w:ind w:firstLine="482"/>
        <w:jc w:val="left"/>
        <w:rPr>
          <w:rFonts w:ascii="微软雅黑" w:hAnsi="微软雅黑" w:eastAsia="微软雅黑" w:cs="宋体"/>
          <w:sz w:val="24"/>
          <w:szCs w:val="24"/>
        </w:rPr>
      </w:pPr>
      <w:r>
        <w:rPr>
          <w:rFonts w:hint="eastAsia" w:ascii="宋体" w:hAnsi="宋体" w:cs="宋体"/>
          <w:b/>
          <w:bCs/>
          <w:sz w:val="24"/>
          <w:szCs w:val="24"/>
        </w:rPr>
        <w:t>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p>
    <w:p w14:paraId="2DA752E9">
      <w:pPr>
        <w:widowControl/>
        <w:spacing w:line="348" w:lineRule="auto"/>
        <w:ind w:firstLine="482"/>
        <w:rPr>
          <w:rFonts w:ascii="宋体" w:hAnsi="宋体"/>
          <w:b/>
          <w:sz w:val="24"/>
        </w:rPr>
      </w:pPr>
      <w:r>
        <w:rPr>
          <w:rFonts w:hint="eastAsia" w:ascii="宋体" w:hAnsi="宋体"/>
          <w:b/>
          <w:sz w:val="24"/>
        </w:rPr>
        <w:t>投标人涉及以下情形的，不适用信用承诺，仍须提供上述证明材料：</w:t>
      </w:r>
    </w:p>
    <w:p w14:paraId="6007121C">
      <w:pPr>
        <w:widowControl/>
        <w:spacing w:line="348" w:lineRule="auto"/>
        <w:ind w:firstLine="482"/>
        <w:rPr>
          <w:rFonts w:ascii="宋体" w:hAnsi="宋体"/>
          <w:b/>
          <w:sz w:val="24"/>
        </w:rPr>
      </w:pPr>
      <w:r>
        <w:rPr>
          <w:rFonts w:hint="eastAsia" w:ascii="宋体" w:hAnsi="宋体"/>
          <w:b/>
          <w:sz w:val="24"/>
        </w:rPr>
        <w:t>（1）投标人被列入严重失信主体名单；</w:t>
      </w:r>
    </w:p>
    <w:p w14:paraId="305FC168">
      <w:pPr>
        <w:widowControl/>
        <w:spacing w:line="348" w:lineRule="auto"/>
        <w:ind w:firstLine="482"/>
        <w:rPr>
          <w:rFonts w:ascii="宋体" w:hAnsi="宋体"/>
          <w:b/>
          <w:sz w:val="24"/>
        </w:rPr>
      </w:pPr>
      <w:r>
        <w:rPr>
          <w:rFonts w:hint="eastAsia" w:ascii="宋体" w:hAnsi="宋体"/>
          <w:b/>
          <w:sz w:val="24"/>
        </w:rPr>
        <w:t>（2）被相关监管部门作出行政处罚且尚在处罚有效期内；</w:t>
      </w:r>
    </w:p>
    <w:p w14:paraId="6ACB1796">
      <w:pPr>
        <w:widowControl/>
        <w:spacing w:line="348" w:lineRule="auto"/>
        <w:ind w:firstLine="482"/>
        <w:rPr>
          <w:rFonts w:hint="eastAsia" w:ascii="宋体" w:hAnsi="宋体"/>
          <w:b/>
          <w:sz w:val="24"/>
        </w:rPr>
      </w:pPr>
      <w:r>
        <w:rPr>
          <w:rFonts w:hint="eastAsia" w:ascii="宋体" w:hAnsi="宋体"/>
          <w:b/>
          <w:sz w:val="24"/>
        </w:rPr>
        <w:t>（3）其他法律、行政法规规定的不适用信用承诺的情形。</w:t>
      </w:r>
      <w:r>
        <w:rPr>
          <w:rFonts w:hint="eastAsia" w:ascii="宋体" w:hAnsi="宋体" w:cs="宋体"/>
          <w:sz w:val="24"/>
          <w:szCs w:val="24"/>
        </w:rPr>
        <w:t xml:space="preserve"> </w:t>
      </w:r>
    </w:p>
    <w:p w14:paraId="12880EC1">
      <w:pPr>
        <w:spacing w:line="348" w:lineRule="auto"/>
        <w:ind w:firstLine="480"/>
        <w:rPr>
          <w:rFonts w:hint="eastAsia" w:ascii="宋体" w:hAnsi="宋体" w:cs="宋体"/>
          <w:sz w:val="24"/>
          <w:szCs w:val="24"/>
        </w:rPr>
      </w:pPr>
      <w:r>
        <w:rPr>
          <w:rFonts w:hint="eastAsia" w:ascii="宋体" w:hAnsi="宋体" w:cs="宋体"/>
          <w:sz w:val="24"/>
          <w:szCs w:val="24"/>
        </w:rPr>
        <w:t>供应商对信用承诺内容的真实性、合法性、有效性负责。如作出虚假信用承诺，视同为“提供虚假材料谋取中标、成交”的违法行为。</w:t>
      </w:r>
    </w:p>
    <w:p w14:paraId="4332961D">
      <w:pPr>
        <w:spacing w:before="120" w:line="348" w:lineRule="auto"/>
        <w:ind w:firstLine="480"/>
        <w:rPr>
          <w:rFonts w:hint="eastAsia" w:ascii="宋体" w:hAnsi="宋体" w:cs="宋体"/>
          <w:sz w:val="24"/>
          <w:szCs w:val="24"/>
        </w:rPr>
      </w:pPr>
      <w:r>
        <w:rPr>
          <w:rFonts w:hint="eastAsia" w:ascii="宋体" w:hAnsi="宋体" w:cs="宋体"/>
          <w:sz w:val="24"/>
          <w:szCs w:val="24"/>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05E42DF8">
      <w:pPr>
        <w:spacing w:before="120" w:line="348" w:lineRule="auto"/>
        <w:ind w:firstLine="480"/>
        <w:rPr>
          <w:rFonts w:ascii="宋体" w:hAnsi="宋体" w:cs="宋体"/>
          <w:sz w:val="24"/>
          <w:szCs w:val="24"/>
        </w:rPr>
      </w:pPr>
      <w:r>
        <w:rPr>
          <w:rFonts w:hint="eastAsia" w:ascii="宋体" w:hAnsi="宋体" w:cs="宋体"/>
          <w:sz w:val="24"/>
          <w:szCs w:val="24"/>
        </w:rPr>
        <w:t>4、供应商如确定参加投标，可自行下载采购文件及有关资料，按照《操作手册》进行注册，领取CA和办理电子签章，并按《操作手册》要求制作、上传电子投标文件。</w:t>
      </w:r>
    </w:p>
    <w:p w14:paraId="303CBFDC">
      <w:pPr>
        <w:spacing w:before="120" w:line="348" w:lineRule="auto"/>
        <w:rPr>
          <w:rFonts w:ascii="宋体" w:hAnsi="宋体" w:cs="宋体"/>
          <w:sz w:val="24"/>
          <w:szCs w:val="24"/>
        </w:rPr>
      </w:pPr>
      <w:r>
        <w:rPr>
          <w:rFonts w:hint="eastAsia" w:ascii="宋体" w:hAnsi="宋体" w:cs="宋体"/>
          <w:sz w:val="24"/>
          <w:szCs w:val="24"/>
        </w:rPr>
        <w:t>《操作手册》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206"/>
          <w:rFonts w:hint="eastAsia"/>
          <w:color w:val="000000"/>
          <w:szCs w:val="24"/>
        </w:rPr>
        <w:t>下</w:t>
      </w:r>
      <w:bookmarkStart w:id="29" w:name="_Hlt177997950"/>
      <w:bookmarkStart w:id="30" w:name="_Hlt177997949"/>
      <w:r>
        <w:rPr>
          <w:rStyle w:val="206"/>
          <w:rFonts w:hint="eastAsia"/>
          <w:color w:val="000000"/>
          <w:szCs w:val="24"/>
        </w:rPr>
        <w:t>载</w:t>
      </w:r>
      <w:bookmarkEnd w:id="29"/>
      <w:bookmarkEnd w:id="30"/>
      <w:bookmarkStart w:id="31" w:name="_Hlt177997930"/>
      <w:bookmarkStart w:id="32" w:name="_Hlt177997931"/>
      <w:r>
        <w:rPr>
          <w:rStyle w:val="206"/>
          <w:rFonts w:hint="eastAsia"/>
          <w:color w:val="000000"/>
          <w:szCs w:val="24"/>
        </w:rPr>
        <w:t>地</w:t>
      </w:r>
      <w:bookmarkEnd w:id="31"/>
      <w:bookmarkEnd w:id="32"/>
      <w:r>
        <w:rPr>
          <w:rStyle w:val="206"/>
          <w:rFonts w:hint="eastAsia"/>
          <w:color w:val="000000"/>
          <w:szCs w:val="24"/>
        </w:rPr>
        <w:t>址</w:t>
      </w:r>
      <w:r>
        <w:rPr>
          <w:rFonts w:hint="eastAsia" w:ascii="宋体" w:hAnsi="宋体" w:cs="宋体"/>
          <w:sz w:val="24"/>
          <w:szCs w:val="24"/>
        </w:rPr>
        <w:fldChar w:fldCharType="end"/>
      </w:r>
      <w:r>
        <w:rPr>
          <w:rFonts w:hint="eastAsia" w:ascii="宋体" w:hAnsi="宋体" w:cs="宋体"/>
          <w:sz w:val="24"/>
          <w:szCs w:val="24"/>
        </w:rPr>
        <w:t>（CTRL+鼠标左键）。</w:t>
      </w:r>
    </w:p>
    <w:p w14:paraId="2F59EB09">
      <w:pPr>
        <w:spacing w:before="120" w:line="348" w:lineRule="auto"/>
        <w:ind w:firstLine="480"/>
        <w:rPr>
          <w:rFonts w:hint="eastAsia" w:ascii="宋体" w:hAnsi="宋体" w:cs="宋体"/>
          <w:sz w:val="24"/>
          <w:szCs w:val="24"/>
        </w:rPr>
      </w:pPr>
      <w:r>
        <w:rPr>
          <w:rFonts w:hint="eastAsia" w:ascii="宋体" w:hAnsi="宋体" w:cs="宋体"/>
          <w:sz w:val="24"/>
          <w:szCs w:val="24"/>
        </w:rPr>
        <w:t>5、有关本次招标的事项若存在变动或修改，请及时关注“江苏政府采购网”（www.ccgp-jiangsu.gov.cn）更正公告。</w:t>
      </w:r>
    </w:p>
    <w:p w14:paraId="07D46682">
      <w:pPr>
        <w:spacing w:before="120" w:line="348" w:lineRule="auto"/>
        <w:ind w:firstLine="480"/>
        <w:rPr>
          <w:rFonts w:hint="eastAsia" w:ascii="宋体" w:hAnsi="宋体" w:cs="宋体"/>
          <w:sz w:val="24"/>
          <w:szCs w:val="24"/>
        </w:rPr>
      </w:pPr>
      <w:r>
        <w:rPr>
          <w:rFonts w:hint="eastAsia" w:ascii="宋体" w:hAnsi="宋体" w:cs="宋体"/>
          <w:sz w:val="24"/>
          <w:szCs w:val="24"/>
        </w:rPr>
        <w:t>6、采购</w:t>
      </w:r>
      <w:r>
        <w:rPr>
          <w:rFonts w:ascii="宋体" w:hAnsi="宋体" w:cs="宋体"/>
          <w:sz w:val="24"/>
          <w:szCs w:val="24"/>
        </w:rPr>
        <w:t>项目需要</w:t>
      </w:r>
      <w:r>
        <w:rPr>
          <w:rFonts w:hint="eastAsia" w:ascii="宋体" w:hAnsi="宋体" w:cs="宋体"/>
          <w:sz w:val="24"/>
          <w:szCs w:val="24"/>
        </w:rPr>
        <w:t>落实</w:t>
      </w:r>
      <w:r>
        <w:rPr>
          <w:rFonts w:ascii="宋体" w:hAnsi="宋体" w:cs="宋体"/>
          <w:sz w:val="24"/>
          <w:szCs w:val="24"/>
        </w:rPr>
        <w:t>的政府采购政策</w:t>
      </w:r>
      <w:r>
        <w:rPr>
          <w:rFonts w:hint="eastAsia" w:ascii="宋体" w:hAnsi="宋体" w:cs="宋体"/>
          <w:sz w:val="24"/>
          <w:szCs w:val="24"/>
        </w:rPr>
        <w:t>：本次招标执行政府采购关于节能产品、环境标志产品、本国产品、中小企业、监狱企业、残疾人就业等相关政策。</w:t>
      </w:r>
    </w:p>
    <w:p w14:paraId="300ADD25">
      <w:pPr>
        <w:spacing w:line="348" w:lineRule="auto"/>
        <w:rPr>
          <w:rFonts w:ascii="宋体" w:hAnsi="宋体"/>
          <w:b/>
          <w:sz w:val="24"/>
          <w:szCs w:val="24"/>
        </w:rPr>
      </w:pPr>
      <w:bookmarkStart w:id="33" w:name="_Toc28359085"/>
      <w:bookmarkStart w:id="34" w:name="_Toc28359008"/>
      <w:bookmarkStart w:id="35" w:name="_Toc35393796"/>
      <w:bookmarkStart w:id="36" w:name="_Toc35393627"/>
      <w:r>
        <w:rPr>
          <w:rFonts w:hint="eastAsia" w:ascii="宋体" w:hAnsi="宋体"/>
          <w:b/>
          <w:sz w:val="24"/>
          <w:szCs w:val="24"/>
        </w:rPr>
        <w:t>七、对本次招标提出询问，请按以下方式联系</w:t>
      </w:r>
      <w:bookmarkEnd w:id="33"/>
      <w:bookmarkEnd w:id="34"/>
      <w:bookmarkEnd w:id="35"/>
      <w:bookmarkEnd w:id="36"/>
    </w:p>
    <w:p w14:paraId="5895190A">
      <w:pPr>
        <w:pStyle w:val="198"/>
        <w:spacing w:before="75" w:beforeAutospacing="0" w:after="75" w:afterAutospacing="0" w:line="348" w:lineRule="auto"/>
        <w:ind w:firstLine="600"/>
        <w:rPr>
          <w:szCs w:val="24"/>
        </w:rPr>
      </w:pPr>
      <w:r>
        <w:rPr>
          <w:szCs w:val="24"/>
        </w:rPr>
        <w:t>1.采购人信息</w:t>
      </w:r>
    </w:p>
    <w:p w14:paraId="152AFB3C">
      <w:pPr>
        <w:pStyle w:val="198"/>
        <w:spacing w:before="75" w:beforeAutospacing="0" w:after="75" w:afterAutospacing="0" w:line="348" w:lineRule="auto"/>
        <w:ind w:firstLine="600"/>
        <w:rPr>
          <w:szCs w:val="24"/>
        </w:rPr>
      </w:pPr>
      <w:r>
        <w:rPr>
          <w:szCs w:val="24"/>
        </w:rPr>
        <w:t>名称：</w:t>
      </w:r>
      <w:r>
        <w:rPr>
          <w:rFonts w:hint="eastAsia"/>
          <w:szCs w:val="24"/>
          <w:lang w:eastAsia="zh-CN"/>
        </w:rPr>
        <w:t>江苏第二师范学院</w:t>
      </w:r>
    </w:p>
    <w:p w14:paraId="59FBA7A3">
      <w:pPr>
        <w:pStyle w:val="198"/>
        <w:spacing w:before="75" w:beforeAutospacing="0" w:after="75" w:afterAutospacing="0" w:line="348" w:lineRule="auto"/>
        <w:ind w:firstLine="600"/>
        <w:rPr>
          <w:rFonts w:hint="eastAsia"/>
          <w:szCs w:val="24"/>
        </w:rPr>
      </w:pPr>
      <w:r>
        <w:rPr>
          <w:rFonts w:hint="eastAsia"/>
          <w:szCs w:val="24"/>
        </w:rPr>
        <w:t>地址：南京市溧水区新河西路6号</w:t>
      </w:r>
    </w:p>
    <w:p w14:paraId="5F443A4D">
      <w:pPr>
        <w:pStyle w:val="198"/>
        <w:spacing w:before="75" w:beforeAutospacing="0" w:after="75" w:afterAutospacing="0" w:line="348" w:lineRule="auto"/>
        <w:ind w:firstLine="600"/>
        <w:rPr>
          <w:rFonts w:hint="eastAsia"/>
          <w:szCs w:val="24"/>
        </w:rPr>
      </w:pPr>
      <w:r>
        <w:rPr>
          <w:rFonts w:hint="eastAsia"/>
          <w:szCs w:val="24"/>
        </w:rPr>
        <w:t>联系方式： 王老师  025-56226328</w:t>
      </w:r>
    </w:p>
    <w:p w14:paraId="0D795A3F">
      <w:pPr>
        <w:pStyle w:val="198"/>
        <w:spacing w:before="75" w:beforeAutospacing="0" w:after="75" w:afterAutospacing="0" w:line="348" w:lineRule="auto"/>
        <w:ind w:firstLine="600"/>
        <w:rPr>
          <w:szCs w:val="24"/>
        </w:rPr>
      </w:pPr>
      <w:r>
        <w:rPr>
          <w:szCs w:val="24"/>
        </w:rPr>
        <w:t>2.采购代理机构信息</w:t>
      </w:r>
    </w:p>
    <w:p w14:paraId="2E60630A">
      <w:pPr>
        <w:pStyle w:val="198"/>
        <w:spacing w:before="75" w:beforeAutospacing="0" w:after="75" w:afterAutospacing="0" w:line="348" w:lineRule="auto"/>
        <w:ind w:firstLine="600"/>
        <w:rPr>
          <w:rFonts w:hint="eastAsia" w:eastAsia="宋体"/>
          <w:szCs w:val="24"/>
          <w:lang w:eastAsia="zh-CN"/>
        </w:rPr>
      </w:pPr>
      <w:r>
        <w:rPr>
          <w:szCs w:val="24"/>
        </w:rPr>
        <w:t>名称：</w:t>
      </w:r>
      <w:r>
        <w:rPr>
          <w:rFonts w:hint="eastAsia"/>
          <w:szCs w:val="24"/>
          <w:lang w:eastAsia="zh-CN"/>
        </w:rPr>
        <w:t>中邮建技术有限公司</w:t>
      </w:r>
    </w:p>
    <w:p w14:paraId="5B84DE39">
      <w:pPr>
        <w:pStyle w:val="198"/>
        <w:spacing w:before="75" w:beforeAutospacing="0" w:after="75" w:afterAutospacing="0" w:line="348" w:lineRule="auto"/>
        <w:ind w:firstLine="600"/>
        <w:rPr>
          <w:rFonts w:hint="eastAsia" w:eastAsia="宋体"/>
          <w:szCs w:val="24"/>
          <w:lang w:eastAsia="zh-CN"/>
        </w:rPr>
      </w:pPr>
      <w:r>
        <w:rPr>
          <w:szCs w:val="24"/>
        </w:rPr>
        <w:t>地址：</w:t>
      </w:r>
      <w:r>
        <w:rPr>
          <w:rFonts w:hint="eastAsia"/>
          <w:szCs w:val="24"/>
          <w:lang w:eastAsia="zh-CN"/>
        </w:rPr>
        <w:t>南京市雨花台区雨花西路210号</w:t>
      </w:r>
    </w:p>
    <w:p w14:paraId="79F6CABD">
      <w:pPr>
        <w:pStyle w:val="198"/>
        <w:spacing w:before="75" w:beforeAutospacing="0" w:after="75" w:afterAutospacing="0" w:line="348" w:lineRule="auto"/>
        <w:ind w:firstLine="600"/>
        <w:rPr>
          <w:rFonts w:hint="default" w:eastAsia="宋体"/>
          <w:szCs w:val="24"/>
          <w:lang w:val="en-US" w:eastAsia="zh-CN"/>
        </w:rPr>
      </w:pPr>
      <w:r>
        <w:rPr>
          <w:szCs w:val="24"/>
        </w:rPr>
        <w:t>联系方式：</w:t>
      </w:r>
      <w:r>
        <w:rPr>
          <w:rFonts w:hint="eastAsia"/>
          <w:szCs w:val="24"/>
        </w:rPr>
        <w:t>徐工</w:t>
      </w:r>
      <w:r>
        <w:rPr>
          <w:rFonts w:hint="eastAsia"/>
          <w:szCs w:val="24"/>
          <w:lang w:val="en-US" w:eastAsia="zh-CN"/>
        </w:rPr>
        <w:t>19951788668</w:t>
      </w:r>
    </w:p>
    <w:p w14:paraId="07E83F02">
      <w:pPr>
        <w:pStyle w:val="185"/>
        <w:spacing w:before="120" w:after="100" w:afterAutospacing="1" w:line="240" w:lineRule="auto"/>
        <w:jc w:val="center"/>
        <w:rPr>
          <w:rFonts w:ascii="Arial" w:hAnsi="Arial" w:eastAsia="黑体" w:cs="Arial"/>
          <w:sz w:val="32"/>
        </w:rPr>
      </w:pPr>
      <w:r>
        <w:rPr>
          <w:rFonts w:ascii="Arial" w:hAnsi="Arial" w:cs="Arial"/>
          <w:b w:val="0"/>
          <w:sz w:val="24"/>
        </w:rPr>
        <w:br w:type="page" w:clear="all"/>
      </w:r>
      <w:bookmarkStart w:id="37" w:name="_Toc29640"/>
      <w:bookmarkStart w:id="38" w:name="_Toc237917778"/>
      <w:r>
        <w:rPr>
          <w:rFonts w:ascii="Arial" w:hAnsi="Arial" w:eastAsia="黑体" w:cs="Arial"/>
          <w:sz w:val="32"/>
        </w:rPr>
        <w:t>第二章 投标人须知</w:t>
      </w:r>
      <w:bookmarkEnd w:id="37"/>
    </w:p>
    <w:bookmarkEnd w:id="38"/>
    <w:p w14:paraId="5A3F1966">
      <w:pPr>
        <w:pStyle w:val="186"/>
        <w:spacing w:after="120"/>
        <w:rPr>
          <w:rFonts w:ascii="宋体" w:hAnsi="宋体" w:cs="Arial"/>
          <w:sz w:val="24"/>
        </w:rPr>
      </w:pPr>
      <w:r>
        <w:rPr>
          <w:rFonts w:ascii="宋体" w:hAnsi="宋体" w:cs="Arial"/>
          <w:sz w:val="24"/>
        </w:rPr>
        <w:t>一、说明和释义</w:t>
      </w:r>
    </w:p>
    <w:p w14:paraId="30C3292D">
      <w:pPr>
        <w:spacing w:line="360" w:lineRule="auto"/>
        <w:rPr>
          <w:rFonts w:ascii="宋体" w:hAnsi="宋体" w:cs="Arial"/>
          <w:b/>
          <w:sz w:val="24"/>
        </w:rPr>
      </w:pPr>
      <w:r>
        <w:rPr>
          <w:rFonts w:ascii="宋体" w:hAnsi="宋体" w:cs="Arial"/>
          <w:b/>
          <w:sz w:val="24"/>
        </w:rPr>
        <w:t>1. 说明</w:t>
      </w:r>
    </w:p>
    <w:p w14:paraId="60FE8596">
      <w:pPr>
        <w:pStyle w:val="189"/>
        <w:spacing w:line="360" w:lineRule="auto"/>
        <w:ind w:firstLine="0"/>
        <w:rPr>
          <w:rFonts w:ascii="宋体" w:hAnsi="宋体" w:eastAsia="宋体" w:cs="Arial"/>
        </w:rPr>
      </w:pPr>
      <w:r>
        <w:rPr>
          <w:rFonts w:ascii="宋体" w:hAnsi="宋体" w:eastAsia="宋体" w:cs="Arial"/>
        </w:rPr>
        <w:t>1.1 本招标文件仅适用于</w:t>
      </w:r>
      <w:r>
        <w:rPr>
          <w:rFonts w:hint="eastAsia" w:ascii="宋体" w:hAnsi="宋体" w:eastAsia="宋体" w:cs="Arial"/>
          <w:lang w:eastAsia="zh-CN"/>
        </w:rPr>
        <w:t>中邮建技术有限公司</w:t>
      </w:r>
      <w:r>
        <w:rPr>
          <w:rFonts w:ascii="宋体" w:hAnsi="宋体" w:eastAsia="宋体" w:cs="Arial"/>
        </w:rPr>
        <w:t>组织的招标活动。</w:t>
      </w:r>
    </w:p>
    <w:p w14:paraId="5912BF83">
      <w:pPr>
        <w:pStyle w:val="189"/>
        <w:spacing w:line="360" w:lineRule="auto"/>
        <w:ind w:firstLine="0"/>
        <w:rPr>
          <w:rFonts w:ascii="宋体" w:hAnsi="宋体" w:eastAsia="宋体" w:cs="Arial"/>
        </w:rPr>
      </w:pPr>
      <w:r>
        <w:rPr>
          <w:rFonts w:ascii="宋体" w:hAnsi="宋体" w:eastAsia="宋体" w:cs="Arial"/>
        </w:rPr>
        <w:t>1.2 本次招标活动及因本次招标产生的合同受中国法律制约和保护。</w:t>
      </w:r>
    </w:p>
    <w:p w14:paraId="61BB49B8">
      <w:pPr>
        <w:pStyle w:val="189"/>
        <w:spacing w:line="360" w:lineRule="auto"/>
        <w:ind w:firstLine="0"/>
        <w:rPr>
          <w:rFonts w:ascii="宋体" w:hAnsi="宋体" w:eastAsia="宋体" w:cs="Arial"/>
        </w:rPr>
      </w:pPr>
      <w:r>
        <w:rPr>
          <w:rFonts w:ascii="宋体" w:hAnsi="宋体" w:eastAsia="宋体" w:cs="Arial"/>
        </w:rPr>
        <w:t>1.3 投标人须认真阅读并理解本招标文件中的全部内容（特别是招标文件中规定的构成无效标的条款）。</w:t>
      </w:r>
    </w:p>
    <w:p w14:paraId="6F1340C9">
      <w:pPr>
        <w:pStyle w:val="189"/>
        <w:spacing w:line="360" w:lineRule="auto"/>
        <w:ind w:firstLine="0"/>
        <w:rPr>
          <w:rFonts w:ascii="宋体" w:hAnsi="宋体" w:eastAsia="宋体" w:cs="Arial"/>
        </w:rPr>
      </w:pPr>
      <w:r>
        <w:rPr>
          <w:rFonts w:ascii="宋体" w:hAnsi="宋体" w:eastAsia="宋体" w:cs="Arial"/>
        </w:rPr>
        <w:t>1.4 本招标文件的解释权属于</w:t>
      </w:r>
      <w:r>
        <w:rPr>
          <w:rFonts w:hint="eastAsia" w:ascii="宋体" w:hAnsi="宋体" w:eastAsia="宋体" w:cs="Arial"/>
          <w:lang w:eastAsia="zh-CN"/>
        </w:rPr>
        <w:t>中邮建技术有限公司</w:t>
      </w:r>
      <w:r>
        <w:rPr>
          <w:rFonts w:ascii="宋体" w:hAnsi="宋体" w:eastAsia="宋体" w:cs="Arial"/>
        </w:rPr>
        <w:t>。</w:t>
      </w:r>
    </w:p>
    <w:p w14:paraId="3C6375D5">
      <w:pPr>
        <w:spacing w:line="360" w:lineRule="auto"/>
        <w:rPr>
          <w:rFonts w:ascii="宋体" w:hAnsi="宋体" w:cs="Arial"/>
          <w:b/>
          <w:sz w:val="24"/>
        </w:rPr>
      </w:pPr>
      <w:r>
        <w:rPr>
          <w:rFonts w:ascii="宋体" w:hAnsi="宋体" w:cs="Arial"/>
          <w:b/>
          <w:sz w:val="24"/>
        </w:rPr>
        <w:t>2. 词语释义</w:t>
      </w:r>
    </w:p>
    <w:p w14:paraId="69A7B564">
      <w:pPr>
        <w:pStyle w:val="189"/>
        <w:spacing w:line="360" w:lineRule="auto"/>
        <w:ind w:firstLine="0"/>
        <w:rPr>
          <w:rFonts w:ascii="宋体" w:hAnsi="宋体" w:eastAsia="宋体" w:cs="Arial"/>
        </w:rPr>
      </w:pPr>
      <w:r>
        <w:rPr>
          <w:rFonts w:ascii="宋体" w:hAnsi="宋体" w:eastAsia="宋体" w:cs="Arial"/>
        </w:rPr>
        <w:t>2.1 采购代理机构：在委托人授权范围内具体组织实施招标活动的法人。</w:t>
      </w:r>
    </w:p>
    <w:p w14:paraId="2346706B">
      <w:pPr>
        <w:pStyle w:val="189"/>
        <w:spacing w:line="360" w:lineRule="auto"/>
        <w:ind w:firstLine="0"/>
        <w:rPr>
          <w:rFonts w:ascii="宋体" w:hAnsi="宋体" w:eastAsia="宋体" w:cs="Arial"/>
        </w:rPr>
      </w:pPr>
      <w:r>
        <w:rPr>
          <w:rFonts w:ascii="宋体" w:hAnsi="宋体" w:eastAsia="宋体" w:cs="Arial"/>
        </w:rPr>
        <w:t>2.2 投标人：经认定有资格响应招标，参加投标竞争的法人。</w:t>
      </w:r>
    </w:p>
    <w:p w14:paraId="15A695F9">
      <w:pPr>
        <w:pStyle w:val="189"/>
        <w:spacing w:line="360" w:lineRule="auto"/>
        <w:ind w:firstLine="0"/>
        <w:rPr>
          <w:rFonts w:ascii="宋体" w:hAnsi="宋体" w:eastAsia="宋体" w:cs="Arial"/>
        </w:rPr>
      </w:pPr>
      <w:r>
        <w:rPr>
          <w:rFonts w:ascii="宋体" w:hAnsi="宋体" w:eastAsia="宋体" w:cs="Arial"/>
        </w:rPr>
        <w:t>2.3 响应：投标人根据采购代理机构发布的招标文件，编制投标文件并按规定投标的行为。</w:t>
      </w:r>
    </w:p>
    <w:p w14:paraId="0D8A9275">
      <w:pPr>
        <w:pStyle w:val="189"/>
        <w:spacing w:line="360" w:lineRule="auto"/>
        <w:ind w:firstLine="0"/>
        <w:rPr>
          <w:rFonts w:ascii="宋体" w:hAnsi="宋体" w:eastAsia="宋体" w:cs="Arial"/>
        </w:rPr>
      </w:pPr>
      <w:r>
        <w:rPr>
          <w:rFonts w:ascii="宋体" w:hAnsi="宋体" w:eastAsia="宋体" w:cs="Arial"/>
        </w:rPr>
        <w:t>2.4 合同：采供双方根据招标文件和中标的投标文件及中标通知书规定的内容签署的以书面形式所达成的协议，包括所有的附件、附录和构成协议的所有文件。</w:t>
      </w:r>
    </w:p>
    <w:p w14:paraId="4D642AD6">
      <w:pPr>
        <w:pStyle w:val="189"/>
        <w:spacing w:line="360" w:lineRule="auto"/>
        <w:ind w:firstLine="0"/>
        <w:rPr>
          <w:rFonts w:ascii="宋体" w:hAnsi="宋体" w:eastAsia="宋体" w:cs="Arial"/>
        </w:rPr>
      </w:pPr>
      <w:r>
        <w:rPr>
          <w:rFonts w:ascii="宋体" w:hAnsi="宋体" w:eastAsia="宋体" w:cs="Arial"/>
        </w:rPr>
        <w:t>2.5 甲方（采购人）：合同中明确规定的实际购买产品和服务的法人、行政事业单位、团体组织。</w:t>
      </w:r>
    </w:p>
    <w:p w14:paraId="3499B9EB">
      <w:pPr>
        <w:pStyle w:val="189"/>
        <w:spacing w:line="360" w:lineRule="auto"/>
        <w:ind w:firstLine="0"/>
        <w:rPr>
          <w:rFonts w:ascii="宋体" w:hAnsi="宋体" w:eastAsia="宋体" w:cs="Arial"/>
        </w:rPr>
      </w:pPr>
      <w:r>
        <w:rPr>
          <w:rFonts w:ascii="宋体" w:hAnsi="宋体" w:eastAsia="宋体" w:cs="Arial"/>
        </w:rPr>
        <w:t>2.6 乙方（供应商</w:t>
      </w:r>
      <w:r>
        <w:rPr>
          <w:rFonts w:hint="eastAsia" w:ascii="宋体" w:hAnsi="宋体" w:eastAsia="宋体" w:cs="Arial"/>
        </w:rPr>
        <w:t>/投标人</w:t>
      </w:r>
      <w:r>
        <w:rPr>
          <w:rFonts w:ascii="宋体" w:hAnsi="宋体" w:eastAsia="宋体" w:cs="Arial"/>
        </w:rPr>
        <w:t>）：合同中规定的向采购人提供产品和服务的法人。</w:t>
      </w:r>
    </w:p>
    <w:p w14:paraId="4C9D175E">
      <w:pPr>
        <w:pStyle w:val="189"/>
        <w:spacing w:line="360" w:lineRule="auto"/>
        <w:ind w:firstLine="0"/>
        <w:rPr>
          <w:rFonts w:ascii="宋体" w:hAnsi="宋体" w:eastAsia="宋体" w:cs="Arial"/>
        </w:rPr>
      </w:pPr>
      <w:r>
        <w:rPr>
          <w:rFonts w:ascii="宋体" w:hAnsi="宋体" w:eastAsia="宋体" w:cs="Arial"/>
        </w:rPr>
        <w:t>2.7 伴随服务：根据合同规定乙方应承担的与提供产品和服务有关的辅助服务，比如配合措施及合同中规定乙方应承担的其它义务。</w:t>
      </w:r>
    </w:p>
    <w:p w14:paraId="1F740687">
      <w:pPr>
        <w:pStyle w:val="189"/>
        <w:spacing w:line="360" w:lineRule="auto"/>
        <w:ind w:firstLine="0"/>
        <w:rPr>
          <w:rFonts w:ascii="宋体" w:hAnsi="宋体" w:eastAsia="宋体" w:cs="Arial"/>
        </w:rPr>
      </w:pPr>
      <w:r>
        <w:rPr>
          <w:rFonts w:ascii="宋体" w:hAnsi="宋体" w:eastAsia="宋体" w:cs="Arial"/>
        </w:rPr>
        <w:t>2.8 知识产权：指专利权、商标权、著作权等无形财产专有权的统称。</w:t>
      </w:r>
    </w:p>
    <w:p w14:paraId="0F0CBFED">
      <w:pPr>
        <w:pStyle w:val="189"/>
        <w:spacing w:line="360" w:lineRule="auto"/>
        <w:ind w:firstLine="0"/>
        <w:rPr>
          <w:rFonts w:ascii="宋体" w:hAnsi="宋体" w:eastAsia="宋体" w:cs="Arial"/>
        </w:rPr>
      </w:pPr>
      <w:r>
        <w:rPr>
          <w:rFonts w:ascii="宋体" w:hAnsi="宋体" w:eastAsia="宋体" w:cs="Arial"/>
        </w:rPr>
        <w:t>2.9 天：日历日。</w:t>
      </w:r>
    </w:p>
    <w:p w14:paraId="5A9F7F54">
      <w:pPr>
        <w:pStyle w:val="189"/>
        <w:spacing w:line="360" w:lineRule="auto"/>
        <w:ind w:firstLine="0"/>
        <w:rPr>
          <w:rFonts w:ascii="宋体" w:hAnsi="宋体" w:eastAsia="宋体" w:cs="Arial"/>
        </w:rPr>
      </w:pPr>
      <w:r>
        <w:rPr>
          <w:rFonts w:ascii="宋体" w:hAnsi="宋体" w:eastAsia="宋体" w:cs="Arial"/>
        </w:rPr>
        <w:t>2.10 交</w:t>
      </w:r>
      <w:r>
        <w:rPr>
          <w:rFonts w:hint="eastAsia" w:ascii="宋体" w:hAnsi="宋体" w:eastAsia="宋体" w:cs="Arial"/>
        </w:rPr>
        <w:t>付</w:t>
      </w:r>
      <w:r>
        <w:rPr>
          <w:rFonts w:ascii="宋体" w:hAnsi="宋体" w:eastAsia="宋体" w:cs="Arial"/>
        </w:rPr>
        <w:t>地点：合同中明确约定的乙方提交的产品和服务最终到达地点。</w:t>
      </w:r>
    </w:p>
    <w:p w14:paraId="0394F069">
      <w:pPr>
        <w:pStyle w:val="189"/>
        <w:spacing w:line="360" w:lineRule="auto"/>
        <w:ind w:firstLine="0"/>
        <w:rPr>
          <w:rFonts w:ascii="宋体" w:hAnsi="宋体" w:eastAsia="宋体" w:cs="Arial"/>
        </w:rPr>
      </w:pPr>
      <w:r>
        <w:rPr>
          <w:rFonts w:ascii="宋体" w:hAnsi="宋体" w:eastAsia="宋体" w:cs="Arial"/>
        </w:rPr>
        <w:t>2.11 合同价款：根据合同规定，乙方在正确地履行合同义务后甲方应支付乙方的价款。</w:t>
      </w:r>
    </w:p>
    <w:p w14:paraId="709AA05A">
      <w:pPr>
        <w:pStyle w:val="189"/>
        <w:widowControl/>
        <w:spacing w:line="360" w:lineRule="auto"/>
        <w:ind w:firstLine="0"/>
        <w:rPr>
          <w:rFonts w:ascii="宋体" w:hAnsi="宋体" w:eastAsia="宋体" w:cs="Arial"/>
        </w:rPr>
      </w:pPr>
      <w:r>
        <w:rPr>
          <w:rFonts w:ascii="宋体" w:hAnsi="宋体" w:eastAsia="宋体" w:cs="Arial"/>
        </w:rPr>
        <w:t>2.12 产地：产品开采、生长、生产、最终制造、加工或提供服务的来源地。</w:t>
      </w:r>
    </w:p>
    <w:p w14:paraId="00B270DF">
      <w:pPr>
        <w:spacing w:line="360" w:lineRule="auto"/>
        <w:rPr>
          <w:rFonts w:ascii="宋体" w:hAnsi="宋体" w:cs="Arial"/>
          <w:sz w:val="24"/>
        </w:rPr>
      </w:pPr>
      <w:r>
        <w:rPr>
          <w:rFonts w:ascii="宋体" w:hAnsi="宋体" w:cs="Arial"/>
          <w:sz w:val="24"/>
        </w:rPr>
        <w:t>2.13 不可抗力：不能预见、不能避免并且不能克服的客观情况。</w:t>
      </w:r>
    </w:p>
    <w:p w14:paraId="251E628D">
      <w:pPr>
        <w:pStyle w:val="186"/>
        <w:spacing w:after="120"/>
        <w:rPr>
          <w:rFonts w:ascii="宋体" w:hAnsi="宋体" w:cs="Arial"/>
          <w:sz w:val="24"/>
        </w:rPr>
      </w:pPr>
      <w:r>
        <w:rPr>
          <w:rFonts w:ascii="宋体" w:hAnsi="宋体" w:cs="Arial"/>
          <w:sz w:val="24"/>
        </w:rPr>
        <w:t>二、投标人</w:t>
      </w:r>
    </w:p>
    <w:p w14:paraId="054C65EC">
      <w:pPr>
        <w:spacing w:line="360" w:lineRule="auto"/>
        <w:rPr>
          <w:rFonts w:ascii="宋体" w:hAnsi="宋体" w:cs="Arial"/>
          <w:b/>
          <w:sz w:val="24"/>
        </w:rPr>
      </w:pPr>
      <w:r>
        <w:rPr>
          <w:rFonts w:ascii="宋体" w:hAnsi="宋体" w:cs="Arial"/>
          <w:b/>
          <w:sz w:val="24"/>
        </w:rPr>
        <w:t>3. 合格投标人的范围</w:t>
      </w:r>
    </w:p>
    <w:p w14:paraId="18FF8927">
      <w:pPr>
        <w:spacing w:line="360" w:lineRule="auto"/>
        <w:rPr>
          <w:rFonts w:ascii="宋体" w:hAnsi="宋体" w:cs="Arial"/>
          <w:sz w:val="24"/>
        </w:rPr>
      </w:pPr>
      <w:r>
        <w:rPr>
          <w:rFonts w:hint="eastAsia" w:ascii="宋体" w:hAnsi="宋体" w:cs="Arial"/>
          <w:sz w:val="24"/>
        </w:rPr>
        <w:t>3.1 满足招标公告中“申请人资格要求”的规定。</w:t>
      </w:r>
    </w:p>
    <w:p w14:paraId="5A835D4C">
      <w:pPr>
        <w:spacing w:line="360" w:lineRule="auto"/>
        <w:rPr>
          <w:rFonts w:ascii="宋体" w:hAnsi="宋体" w:cs="Arial"/>
          <w:sz w:val="24"/>
        </w:rPr>
      </w:pPr>
      <w:r>
        <w:rPr>
          <w:rFonts w:hint="eastAsia" w:ascii="宋体" w:hAnsi="宋体" w:cs="Arial"/>
          <w:sz w:val="24"/>
        </w:rPr>
        <w:t>3.2 满足招标文件实质性条款的要求。</w:t>
      </w:r>
    </w:p>
    <w:p w14:paraId="163C1CFC">
      <w:pPr>
        <w:spacing w:line="360" w:lineRule="auto"/>
        <w:rPr>
          <w:rFonts w:ascii="宋体" w:hAnsi="宋体" w:cs="Arial"/>
          <w:b/>
          <w:sz w:val="24"/>
        </w:rPr>
      </w:pPr>
      <w:r>
        <w:rPr>
          <w:rFonts w:ascii="宋体" w:hAnsi="宋体" w:cs="Arial"/>
          <w:b/>
          <w:sz w:val="24"/>
        </w:rPr>
        <w:t>4. 投标委托</w:t>
      </w:r>
    </w:p>
    <w:p w14:paraId="6027D5DD">
      <w:pPr>
        <w:spacing w:line="360" w:lineRule="auto"/>
        <w:rPr>
          <w:rFonts w:ascii="宋体" w:hAnsi="宋体" w:cs="Arial"/>
          <w:sz w:val="24"/>
        </w:rPr>
      </w:pPr>
      <w:r>
        <w:rPr>
          <w:rFonts w:ascii="宋体" w:hAnsi="宋体" w:cs="Arial"/>
          <w:sz w:val="24"/>
        </w:rPr>
        <w:t>4.1 如投标人代表不是法定代表人，须持有《法定代表人授权委托书》（格式见附件）。</w:t>
      </w:r>
    </w:p>
    <w:p w14:paraId="083DC8A6">
      <w:pPr>
        <w:spacing w:line="360" w:lineRule="auto"/>
        <w:rPr>
          <w:rFonts w:ascii="宋体" w:hAnsi="宋体" w:cs="Arial"/>
          <w:b/>
          <w:sz w:val="24"/>
        </w:rPr>
      </w:pPr>
      <w:r>
        <w:rPr>
          <w:rFonts w:ascii="宋体" w:hAnsi="宋体" w:cs="Arial"/>
          <w:b/>
          <w:sz w:val="24"/>
        </w:rPr>
        <w:t xml:space="preserve">5. 投标费用 </w:t>
      </w:r>
    </w:p>
    <w:p w14:paraId="5D2417E5">
      <w:pPr>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本次招标代理服务费中标人以中标价为计算基数，参照《招标代理服务收费管理暂行办法》（计价格[2002]1980号）文件规定的20%收取，如单个项目参照计价格[2002]1980号文件规定的基准费率折扣后计算招标代理服务费用不足5000元的，按人民币1500元收取，请投标人予以关注并核算到总报价中，无需在投标报价表中单列。</w:t>
      </w:r>
    </w:p>
    <w:p w14:paraId="5BC2EE36">
      <w:pPr>
        <w:spacing w:line="360" w:lineRule="auto"/>
        <w:rPr>
          <w:rFonts w:ascii="宋体" w:hAnsi="宋体" w:cs="Arial"/>
          <w:b/>
          <w:sz w:val="24"/>
        </w:rPr>
      </w:pPr>
      <w:r>
        <w:rPr>
          <w:rFonts w:ascii="宋体" w:hAnsi="宋体" w:cs="Arial"/>
          <w:b/>
          <w:sz w:val="24"/>
        </w:rPr>
        <w:t>6. 联合投标</w:t>
      </w:r>
    </w:p>
    <w:p w14:paraId="5C73C27A">
      <w:pPr>
        <w:spacing w:line="360" w:lineRule="auto"/>
        <w:rPr>
          <w:rFonts w:ascii="宋体" w:hAnsi="宋体" w:cs="Arial"/>
          <w:sz w:val="24"/>
        </w:rPr>
      </w:pPr>
      <w:r>
        <w:rPr>
          <w:rFonts w:ascii="宋体" w:hAnsi="宋体" w:cs="Arial"/>
          <w:sz w:val="24"/>
        </w:rPr>
        <w:t>6.1 本项目不接受联合投标</w:t>
      </w:r>
      <w:r>
        <w:rPr>
          <w:rFonts w:hint="eastAsia" w:ascii="宋体" w:hAnsi="宋体" w:cs="Arial"/>
          <w:sz w:val="24"/>
        </w:rPr>
        <w:t>。</w:t>
      </w:r>
    </w:p>
    <w:p w14:paraId="11998F6C">
      <w:pPr>
        <w:pStyle w:val="186"/>
        <w:spacing w:after="120"/>
        <w:rPr>
          <w:rFonts w:ascii="宋体" w:hAnsi="宋体" w:cs="Arial"/>
          <w:sz w:val="24"/>
        </w:rPr>
      </w:pPr>
      <w:r>
        <w:rPr>
          <w:rFonts w:ascii="宋体" w:hAnsi="宋体" w:cs="Arial"/>
          <w:sz w:val="24"/>
        </w:rPr>
        <w:t>三、招标文件的说明</w:t>
      </w:r>
    </w:p>
    <w:p w14:paraId="5525D373">
      <w:pPr>
        <w:spacing w:line="360" w:lineRule="auto"/>
        <w:rPr>
          <w:rFonts w:ascii="宋体" w:hAnsi="宋体" w:cs="Arial"/>
          <w:b/>
          <w:sz w:val="24"/>
        </w:rPr>
      </w:pPr>
      <w:r>
        <w:rPr>
          <w:rFonts w:ascii="宋体" w:hAnsi="宋体" w:cs="Arial"/>
          <w:b/>
          <w:sz w:val="24"/>
        </w:rPr>
        <w:t>7. 招标文件</w:t>
      </w:r>
    </w:p>
    <w:p w14:paraId="429AA965">
      <w:pPr>
        <w:spacing w:line="360" w:lineRule="auto"/>
        <w:rPr>
          <w:rFonts w:ascii="宋体" w:hAnsi="宋体" w:cs="Arial"/>
          <w:sz w:val="24"/>
        </w:rPr>
      </w:pPr>
      <w:r>
        <w:rPr>
          <w:rFonts w:ascii="宋体" w:hAnsi="宋体" w:cs="Arial"/>
          <w:sz w:val="24"/>
        </w:rPr>
        <w:t>7.1 招标文件由招标文件总目录所列内容组成。</w:t>
      </w:r>
      <w:r>
        <w:rPr>
          <w:rFonts w:hint="eastAsia" w:ascii="宋体" w:hAnsi="宋体"/>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9B1EA5F">
      <w:pPr>
        <w:spacing w:line="360" w:lineRule="auto"/>
        <w:rPr>
          <w:rFonts w:ascii="宋体" w:hAnsi="宋体" w:cs="Arial"/>
          <w:b/>
          <w:sz w:val="24"/>
        </w:rPr>
      </w:pPr>
      <w:r>
        <w:rPr>
          <w:rFonts w:ascii="宋体" w:hAnsi="宋体" w:cs="Arial"/>
          <w:b/>
          <w:sz w:val="24"/>
        </w:rPr>
        <w:t>8. 招标文件的澄清</w:t>
      </w:r>
    </w:p>
    <w:p w14:paraId="4E46FE40">
      <w:pPr>
        <w:pStyle w:val="189"/>
        <w:spacing w:line="360" w:lineRule="auto"/>
        <w:ind w:firstLine="0"/>
        <w:rPr>
          <w:rFonts w:ascii="宋体" w:hAnsi="宋体" w:eastAsia="宋体" w:cs="Arial"/>
        </w:rPr>
      </w:pPr>
      <w:r>
        <w:rPr>
          <w:rFonts w:ascii="宋体" w:hAnsi="宋体" w:eastAsia="宋体" w:cs="Arial"/>
        </w:rPr>
        <w:t>8.1 投标人在收到招标文件后，若有问题需要澄清，应于收到招标文件后以书面形式（包括书面文字、电</w:t>
      </w:r>
      <w:r>
        <w:rPr>
          <w:rFonts w:hint="eastAsia" w:ascii="宋体" w:hAnsi="宋体" w:eastAsia="宋体" w:cs="Arial"/>
        </w:rPr>
        <w:t>邮</w:t>
      </w:r>
      <w:r>
        <w:rPr>
          <w:rFonts w:ascii="宋体" w:hAnsi="宋体" w:eastAsia="宋体" w:cs="Arial"/>
        </w:rPr>
        <w:t>等）向采购代理机构提出，采购代理机构将以书面形式或投标答疑会的方式予以解答（包括对询问的解释，但不说明来源），答复将告知所有获得招标文件的投标人。</w:t>
      </w:r>
    </w:p>
    <w:p w14:paraId="0520739D">
      <w:pPr>
        <w:pStyle w:val="189"/>
        <w:spacing w:line="360" w:lineRule="auto"/>
        <w:ind w:firstLine="0"/>
        <w:rPr>
          <w:rFonts w:ascii="宋体" w:hAnsi="宋体" w:eastAsia="宋体" w:cs="Arial"/>
        </w:rPr>
      </w:pPr>
      <w:r>
        <w:rPr>
          <w:rFonts w:ascii="宋体" w:hAnsi="宋体" w:eastAsia="宋体" w:cs="Arial"/>
        </w:rPr>
        <w:t xml:space="preserve">8.2 </w:t>
      </w:r>
      <w:r>
        <w:rPr>
          <w:rFonts w:hint="eastAsia" w:ascii="宋体" w:hAnsi="宋体" w:eastAsia="宋体" w:cs="Arial"/>
        </w:rPr>
        <w:t>任何要求对招标文件进行澄清的投标人，应在投标截止期十日前按招标公告中的通讯地址，以书面形式通知采购代理机构</w:t>
      </w:r>
      <w:r>
        <w:rPr>
          <w:rFonts w:ascii="宋体" w:hAnsi="宋体" w:eastAsia="宋体" w:cs="Arial"/>
        </w:rPr>
        <w:t>。</w:t>
      </w:r>
    </w:p>
    <w:p w14:paraId="757F0183">
      <w:pPr>
        <w:spacing w:line="360" w:lineRule="auto"/>
        <w:rPr>
          <w:rFonts w:ascii="宋体" w:hAnsi="宋体" w:cs="Arial"/>
          <w:b/>
          <w:sz w:val="24"/>
        </w:rPr>
      </w:pPr>
      <w:r>
        <w:rPr>
          <w:rFonts w:ascii="宋体" w:hAnsi="宋体" w:cs="Arial"/>
          <w:b/>
          <w:sz w:val="24"/>
        </w:rPr>
        <w:t>9. 招标文件的修改</w:t>
      </w:r>
    </w:p>
    <w:p w14:paraId="044F261D">
      <w:pPr>
        <w:spacing w:line="360" w:lineRule="auto"/>
        <w:rPr>
          <w:rFonts w:ascii="宋体" w:hAnsi="宋体" w:cs="Arial"/>
          <w:sz w:val="24"/>
        </w:rPr>
      </w:pPr>
      <w:r>
        <w:rPr>
          <w:rFonts w:ascii="宋体" w:hAnsi="宋体" w:cs="Arial"/>
          <w:sz w:val="24"/>
        </w:rPr>
        <w:t>9.1 在投标截止时间前，采购代理机构可</w:t>
      </w:r>
      <w:r>
        <w:rPr>
          <w:rFonts w:hint="eastAsia" w:ascii="宋体" w:hAnsi="宋体" w:cs="Arial"/>
          <w:sz w:val="24"/>
        </w:rPr>
        <w:t>以</w:t>
      </w:r>
      <w:r>
        <w:rPr>
          <w:rFonts w:ascii="宋体" w:hAnsi="宋体" w:cs="Arial"/>
          <w:sz w:val="24"/>
        </w:rPr>
        <w:t>对招标文件进行修改。</w:t>
      </w:r>
    </w:p>
    <w:p w14:paraId="161F1EDA">
      <w:pPr>
        <w:spacing w:line="360" w:lineRule="auto"/>
        <w:rPr>
          <w:rFonts w:ascii="宋体" w:hAnsi="宋体" w:cs="Arial"/>
          <w:sz w:val="24"/>
        </w:rPr>
      </w:pPr>
      <w:r>
        <w:rPr>
          <w:rFonts w:ascii="宋体" w:hAnsi="宋体" w:cs="Arial"/>
          <w:sz w:val="24"/>
        </w:rPr>
        <w:t>9.2 采购代理机构</w:t>
      </w:r>
      <w:r>
        <w:rPr>
          <w:rFonts w:hint="eastAsia" w:ascii="宋体" w:hAnsi="宋体" w:cs="Arial"/>
          <w:sz w:val="24"/>
        </w:rPr>
        <w:t>有权按照法定的要求推迟投标截止日期和开标日期。</w:t>
      </w:r>
    </w:p>
    <w:p w14:paraId="221BC168">
      <w:pPr>
        <w:spacing w:line="360" w:lineRule="auto"/>
        <w:rPr>
          <w:rFonts w:ascii="宋体" w:hAnsi="宋体" w:cs="Arial"/>
          <w:sz w:val="24"/>
        </w:rPr>
      </w:pPr>
      <w:r>
        <w:rPr>
          <w:rFonts w:ascii="宋体" w:hAnsi="宋体" w:cs="Arial"/>
          <w:sz w:val="24"/>
        </w:rPr>
        <w:t>9</w:t>
      </w:r>
      <w:r>
        <w:rPr>
          <w:rFonts w:hint="eastAsia" w:ascii="宋体" w:hAnsi="宋体" w:cs="Arial"/>
          <w:sz w:val="24"/>
        </w:rPr>
        <w:t>.3 招标文件的修改将在江苏政府采购网公布，补充文件将作为招标文件的组成部分，并对投标人具有约束力。</w:t>
      </w:r>
    </w:p>
    <w:p w14:paraId="77EE6683">
      <w:pPr>
        <w:pStyle w:val="186"/>
        <w:spacing w:after="120"/>
        <w:rPr>
          <w:rFonts w:ascii="宋体" w:hAnsi="宋体" w:cs="Arial"/>
          <w:sz w:val="24"/>
        </w:rPr>
      </w:pPr>
      <w:r>
        <w:rPr>
          <w:rFonts w:ascii="宋体" w:hAnsi="宋体" w:cs="Arial"/>
          <w:sz w:val="24"/>
        </w:rPr>
        <w:t>四、投标文件</w:t>
      </w:r>
      <w:r>
        <w:rPr>
          <w:rFonts w:hint="eastAsia" w:ascii="宋体" w:hAnsi="宋体" w:cs="Arial"/>
          <w:sz w:val="24"/>
        </w:rPr>
        <w:t>的编制</w:t>
      </w:r>
    </w:p>
    <w:p w14:paraId="7A8A846E">
      <w:pPr>
        <w:spacing w:before="120" w:line="360" w:lineRule="auto"/>
        <w:rPr>
          <w:rFonts w:hint="eastAsia" w:ascii="宋体" w:hAnsi="宋体" w:cs="宋体"/>
          <w:b/>
          <w:bCs/>
          <w:sz w:val="24"/>
        </w:rPr>
      </w:pPr>
      <w:bookmarkStart w:id="39" w:name="_Toc20823286"/>
      <w:bookmarkStart w:id="40" w:name="_Toc513029214"/>
      <w:bookmarkStart w:id="41" w:name="_Toc16938530"/>
      <w:bookmarkStart w:id="42" w:name="_Toc462564073"/>
      <w:r>
        <w:rPr>
          <w:rFonts w:hint="eastAsia" w:ascii="宋体" w:hAnsi="宋体" w:cs="宋体"/>
          <w:b/>
          <w:bCs/>
          <w:sz w:val="24"/>
        </w:rPr>
        <w:t>10．投标文件的语言及度量衡单位</w:t>
      </w:r>
      <w:bookmarkEnd w:id="39"/>
      <w:bookmarkEnd w:id="40"/>
      <w:bookmarkEnd w:id="41"/>
      <w:bookmarkEnd w:id="42"/>
    </w:p>
    <w:p w14:paraId="1A97B343">
      <w:pPr>
        <w:spacing w:line="360" w:lineRule="auto"/>
        <w:rPr>
          <w:rFonts w:hint="eastAsia" w:ascii="宋体" w:hAnsi="宋体" w:cs="宋体"/>
          <w:sz w:val="24"/>
        </w:rPr>
      </w:pPr>
      <w:r>
        <w:rPr>
          <w:rFonts w:hint="eastAsia" w:ascii="宋体" w:hAnsi="宋体" w:cs="宋体"/>
          <w:sz w:val="24"/>
        </w:rPr>
        <w:t>10.1投标人提交的投标文件以及投标人与</w:t>
      </w:r>
      <w:r>
        <w:rPr>
          <w:rFonts w:hint="eastAsia" w:ascii="宋体" w:hAnsi="宋体" w:cs="宋体"/>
          <w:sz w:val="24"/>
          <w:u w:val="single"/>
        </w:rPr>
        <w:t>采购代理机构</w:t>
      </w:r>
      <w:r>
        <w:rPr>
          <w:rFonts w:hint="eastAsia" w:ascii="宋体" w:hAnsi="宋体" w:cs="宋体"/>
          <w:sz w:val="24"/>
        </w:rPr>
        <w:t>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63720D59">
      <w:pPr>
        <w:spacing w:line="360" w:lineRule="auto"/>
        <w:rPr>
          <w:rFonts w:hint="eastAsia" w:ascii="宋体" w:hAnsi="宋体" w:cs="宋体"/>
          <w:sz w:val="24"/>
        </w:rPr>
      </w:pPr>
      <w:r>
        <w:rPr>
          <w:rFonts w:hint="eastAsia" w:ascii="宋体" w:hAnsi="宋体" w:cs="宋体"/>
          <w:sz w:val="24"/>
        </w:rPr>
        <w:t>10.2除技术性能另有规定外，投标文件所使用的度量衡单位，均须采用国家法定计量单位。</w:t>
      </w:r>
    </w:p>
    <w:p w14:paraId="717913B7">
      <w:pPr>
        <w:spacing w:before="120" w:line="360" w:lineRule="auto"/>
        <w:rPr>
          <w:rFonts w:hint="eastAsia" w:ascii="宋体" w:hAnsi="宋体" w:cs="宋体"/>
          <w:b/>
          <w:bCs/>
          <w:sz w:val="24"/>
        </w:rPr>
      </w:pPr>
      <w:bookmarkStart w:id="43" w:name="_Toc20823287"/>
      <w:bookmarkStart w:id="44" w:name="_Toc462564074"/>
      <w:bookmarkStart w:id="45" w:name="_Toc513029215"/>
      <w:bookmarkStart w:id="46" w:name="_Toc16938531"/>
      <w:r>
        <w:rPr>
          <w:rFonts w:hint="eastAsia" w:ascii="宋体" w:hAnsi="宋体" w:cs="宋体"/>
          <w:b/>
          <w:bCs/>
          <w:sz w:val="24"/>
        </w:rPr>
        <w:t>11．投标文件构成</w:t>
      </w:r>
      <w:bookmarkEnd w:id="43"/>
      <w:bookmarkEnd w:id="44"/>
      <w:bookmarkEnd w:id="45"/>
      <w:bookmarkEnd w:id="46"/>
    </w:p>
    <w:p w14:paraId="748E1886">
      <w:pPr>
        <w:spacing w:line="360" w:lineRule="auto"/>
        <w:rPr>
          <w:rFonts w:hint="eastAsia" w:ascii="宋体" w:hAnsi="宋体" w:cs="宋体"/>
          <w:sz w:val="24"/>
        </w:rPr>
      </w:pPr>
      <w:r>
        <w:rPr>
          <w:rFonts w:hint="eastAsia" w:ascii="宋体" w:hAnsi="宋体" w:cs="宋体"/>
          <w:sz w:val="24"/>
        </w:rPr>
        <w:t>11.1投标人编写的投标文件应包括投标函、开标一览表、投标分项报价表、技术要求响应及偏离表、商务要求响应及偏离表、资格证明文件、其他证明文件等部分。</w:t>
      </w:r>
    </w:p>
    <w:p w14:paraId="2643DE25">
      <w:pPr>
        <w:spacing w:line="360" w:lineRule="auto"/>
        <w:rPr>
          <w:rFonts w:hint="eastAsia" w:ascii="宋体" w:hAnsi="宋体" w:cs="宋体"/>
          <w:sz w:val="24"/>
        </w:rPr>
      </w:pPr>
      <w:r>
        <w:rPr>
          <w:rFonts w:hint="eastAsia" w:ascii="宋体" w:hAnsi="宋体" w:cs="宋体"/>
          <w:sz w:val="24"/>
        </w:rPr>
        <w:t>11.2如标书制作工具中格式和内容与“江苏政府采购网”发布的招标文件不一致，请以“江苏政府采购网”发布的招标文件为准。</w:t>
      </w:r>
    </w:p>
    <w:p w14:paraId="4211230F">
      <w:pPr>
        <w:spacing w:before="120" w:line="360" w:lineRule="auto"/>
        <w:rPr>
          <w:rFonts w:hint="eastAsia" w:ascii="宋体" w:hAnsi="宋体" w:cs="宋体"/>
          <w:b/>
          <w:bCs/>
          <w:sz w:val="24"/>
        </w:rPr>
      </w:pPr>
      <w:bookmarkStart w:id="47" w:name="_Hlt26668975"/>
      <w:bookmarkEnd w:id="47"/>
      <w:bookmarkStart w:id="48" w:name="_Hlt26670360"/>
      <w:bookmarkEnd w:id="48"/>
      <w:bookmarkStart w:id="49" w:name="_Hlt26954838"/>
      <w:bookmarkEnd w:id="49"/>
      <w:bookmarkStart w:id="50" w:name="_Toc49090509"/>
      <w:bookmarkStart w:id="51" w:name="_Toc14577357"/>
      <w:bookmarkStart w:id="52" w:name="_Toc513029219"/>
      <w:bookmarkStart w:id="53" w:name="_Toc49090507"/>
      <w:bookmarkStart w:id="54" w:name="_Toc14577354"/>
      <w:bookmarkStart w:id="55" w:name="_Toc513029216"/>
      <w:bookmarkStart w:id="56" w:name="_Toc49090508"/>
      <w:bookmarkStart w:id="57" w:name="_Toc14577355"/>
      <w:r>
        <w:rPr>
          <w:rFonts w:hint="eastAsia" w:ascii="宋体" w:hAnsi="宋体" w:cs="宋体"/>
          <w:b/>
          <w:bCs/>
          <w:sz w:val="24"/>
        </w:rPr>
        <w:t>12．证明投标人及投标标的符合招标文件规定的文件</w:t>
      </w:r>
      <w:bookmarkEnd w:id="50"/>
      <w:bookmarkEnd w:id="51"/>
      <w:bookmarkEnd w:id="52"/>
    </w:p>
    <w:bookmarkEnd w:id="53"/>
    <w:bookmarkEnd w:id="54"/>
    <w:bookmarkEnd w:id="55"/>
    <w:p w14:paraId="639DBE8C">
      <w:pPr>
        <w:spacing w:line="360" w:lineRule="auto"/>
        <w:rPr>
          <w:rFonts w:hint="eastAsia" w:ascii="宋体" w:hAnsi="宋体" w:cs="宋体"/>
          <w:sz w:val="24"/>
        </w:rPr>
      </w:pPr>
      <w:r>
        <w:rPr>
          <w:rFonts w:hint="eastAsia" w:ascii="宋体" w:hAnsi="宋体" w:cs="宋体"/>
          <w:sz w:val="24"/>
        </w:rPr>
        <w:t>12.1投标人应按照招标文件要求提交证明文件，证明其及投标标的符合招标文件规定。</w:t>
      </w:r>
    </w:p>
    <w:p w14:paraId="247180AF">
      <w:pPr>
        <w:spacing w:line="360" w:lineRule="auto"/>
        <w:rPr>
          <w:rFonts w:ascii="宋体" w:hAnsi="宋体" w:cs="宋体"/>
          <w:sz w:val="24"/>
        </w:rPr>
      </w:pPr>
      <w:r>
        <w:rPr>
          <w:rFonts w:hint="eastAsia" w:ascii="宋体" w:hAnsi="宋体" w:cs="宋体"/>
          <w:sz w:val="24"/>
        </w:rPr>
        <w:t>12.2招标文件对证明文件无明确形式要求的，证明文件可以以文字资料、图纸和数据等形式提交。</w:t>
      </w:r>
    </w:p>
    <w:p w14:paraId="6CFB3D01">
      <w:pPr>
        <w:spacing w:before="120" w:line="360" w:lineRule="auto"/>
        <w:rPr>
          <w:rFonts w:hint="eastAsia" w:ascii="宋体" w:hAnsi="宋体" w:cs="宋体"/>
          <w:b/>
          <w:bCs/>
          <w:sz w:val="24"/>
        </w:rPr>
      </w:pPr>
      <w:bookmarkStart w:id="58" w:name="_Toc14577359"/>
      <w:bookmarkStart w:id="59" w:name="_Toc49090510"/>
      <w:r>
        <w:rPr>
          <w:rFonts w:hint="eastAsia" w:ascii="宋体" w:hAnsi="宋体" w:cs="宋体"/>
          <w:b/>
          <w:bCs/>
          <w:sz w:val="24"/>
        </w:rPr>
        <w:t>13．投标函和开标一览表</w:t>
      </w:r>
    </w:p>
    <w:p w14:paraId="42DEA9AB">
      <w:pPr>
        <w:spacing w:line="360" w:lineRule="auto"/>
        <w:rPr>
          <w:rFonts w:hint="eastAsia" w:ascii="宋体" w:hAnsi="宋体" w:cs="宋体"/>
          <w:sz w:val="24"/>
        </w:rPr>
      </w:pPr>
      <w:r>
        <w:rPr>
          <w:rFonts w:hint="eastAsia" w:ascii="宋体" w:hAnsi="宋体" w:cs="宋体"/>
          <w:sz w:val="24"/>
        </w:rPr>
        <w:t>13.1 投标人应按照招标文件中提供的格式完整、正确填写投标函、开标一览表。</w:t>
      </w:r>
    </w:p>
    <w:p w14:paraId="3856FC19">
      <w:pPr>
        <w:spacing w:line="360" w:lineRule="auto"/>
        <w:rPr>
          <w:rFonts w:hint="eastAsia" w:ascii="宋体" w:hAnsi="宋体" w:cs="宋体"/>
          <w:sz w:val="24"/>
        </w:rPr>
      </w:pPr>
      <w:r>
        <w:rPr>
          <w:rFonts w:hint="eastAsia" w:ascii="宋体" w:hAnsi="宋体" w:cs="宋体"/>
          <w:sz w:val="24"/>
        </w:rPr>
        <w:t>13.2 对于采用货币报价的项目，开标一览表中的投标总报价应与投标分项报价表中的投标总报价一致，如不一致，不作为无效投标处理，但评标时按开标一览表中价格为准。</w:t>
      </w:r>
      <w:bookmarkEnd w:id="58"/>
      <w:bookmarkEnd w:id="59"/>
    </w:p>
    <w:bookmarkEnd w:id="56"/>
    <w:bookmarkEnd w:id="57"/>
    <w:p w14:paraId="69498839">
      <w:pPr>
        <w:spacing w:before="120" w:line="360" w:lineRule="auto"/>
        <w:rPr>
          <w:rFonts w:hint="eastAsia" w:ascii="宋体" w:hAnsi="宋体" w:cs="宋体"/>
          <w:b/>
          <w:bCs/>
          <w:sz w:val="24"/>
        </w:rPr>
      </w:pPr>
      <w:r>
        <w:rPr>
          <w:rFonts w:hint="eastAsia" w:ascii="宋体" w:hAnsi="宋体" w:cs="宋体"/>
          <w:b/>
          <w:bCs/>
          <w:sz w:val="24"/>
        </w:rPr>
        <w:t>14．投标分项报价表</w:t>
      </w:r>
    </w:p>
    <w:p w14:paraId="7C64876B">
      <w:pPr>
        <w:spacing w:line="360" w:lineRule="auto"/>
        <w:rPr>
          <w:rFonts w:hint="eastAsia" w:ascii="宋体" w:hAnsi="宋体" w:cs="宋体"/>
          <w:sz w:val="24"/>
        </w:rPr>
      </w:pPr>
      <w:r>
        <w:rPr>
          <w:rFonts w:hint="eastAsia" w:ascii="宋体" w:hAnsi="宋体" w:cs="宋体"/>
          <w:sz w:val="24"/>
        </w:rPr>
        <w:t>14.1投标人应按照招标文件规定格式填报投标分项报价表。</w:t>
      </w:r>
    </w:p>
    <w:p w14:paraId="03FF3F2C">
      <w:pPr>
        <w:spacing w:line="360" w:lineRule="auto"/>
        <w:rPr>
          <w:rFonts w:hint="eastAsia" w:ascii="宋体" w:hAnsi="宋体" w:cs="宋体"/>
          <w:sz w:val="24"/>
        </w:rPr>
      </w:pPr>
      <w:r>
        <w:rPr>
          <w:rFonts w:hint="eastAsia" w:ascii="宋体" w:hAnsi="宋体" w:cs="宋体"/>
          <w:sz w:val="24"/>
        </w:rPr>
        <w:t>14.2投标货币。投标文件中的单价和总价无特殊规定的采用人民币报价，以元为单位标注。招标文件中另有规定的按规定执行。</w:t>
      </w:r>
    </w:p>
    <w:p w14:paraId="76D1949B">
      <w:pPr>
        <w:spacing w:before="120" w:line="360" w:lineRule="auto"/>
        <w:rPr>
          <w:rFonts w:hint="eastAsia" w:ascii="宋体" w:hAnsi="宋体" w:cs="宋体"/>
          <w:b/>
          <w:bCs/>
          <w:sz w:val="24"/>
        </w:rPr>
      </w:pPr>
      <w:bookmarkStart w:id="60" w:name="_Hlt26670486"/>
      <w:bookmarkEnd w:id="60"/>
      <w:bookmarkStart w:id="61" w:name="_Hlt26670482"/>
      <w:bookmarkEnd w:id="61"/>
      <w:bookmarkStart w:id="62" w:name="_Hlt26954848"/>
      <w:bookmarkEnd w:id="62"/>
      <w:bookmarkStart w:id="63" w:name="_Hlt26954731"/>
      <w:bookmarkEnd w:id="63"/>
      <w:bookmarkStart w:id="64" w:name="_Hlt26954846"/>
      <w:bookmarkEnd w:id="64"/>
      <w:r>
        <w:rPr>
          <w:rFonts w:hint="eastAsia" w:ascii="宋体" w:hAnsi="宋体" w:cs="宋体"/>
          <w:b/>
          <w:bCs/>
          <w:sz w:val="24"/>
        </w:rPr>
        <w:t>15．技术要求响应及偏离表、商务要求响应及偏离表</w:t>
      </w:r>
    </w:p>
    <w:p w14:paraId="163C2DDD">
      <w:pPr>
        <w:spacing w:line="360" w:lineRule="auto"/>
        <w:rPr>
          <w:rFonts w:hint="eastAsia" w:ascii="宋体" w:hAnsi="宋体" w:cs="宋体"/>
          <w:sz w:val="24"/>
          <w:lang w:val="zh-CN"/>
        </w:rPr>
      </w:pPr>
      <w:r>
        <w:rPr>
          <w:rFonts w:hint="eastAsia" w:ascii="宋体" w:hAnsi="宋体" w:cs="宋体"/>
          <w:sz w:val="24"/>
          <w:lang w:val="zh-CN"/>
        </w:rPr>
        <w:t>15.1投标人需对招标文件中的技术要求与商务要求逐项作出响应或偏离，并说明原因。</w:t>
      </w:r>
    </w:p>
    <w:p w14:paraId="1F5887F5">
      <w:pPr>
        <w:spacing w:line="360" w:lineRule="auto"/>
        <w:rPr>
          <w:rFonts w:hint="eastAsia" w:ascii="宋体" w:hAnsi="宋体" w:cs="宋体"/>
          <w:sz w:val="24"/>
          <w:lang w:val="zh-CN"/>
        </w:rPr>
      </w:pPr>
      <w:r>
        <w:rPr>
          <w:rFonts w:hint="eastAsia" w:ascii="宋体" w:hAnsi="宋体" w:cs="宋体"/>
          <w:sz w:val="24"/>
          <w:lang w:val="zh-CN"/>
        </w:rPr>
        <w:t>15.2 投标人可在投标文件中提供认为需要的其他技术文件或说明。</w:t>
      </w:r>
    </w:p>
    <w:p w14:paraId="7A7F7765">
      <w:pPr>
        <w:spacing w:before="120" w:line="360" w:lineRule="auto"/>
        <w:rPr>
          <w:rFonts w:hint="eastAsia" w:ascii="宋体" w:hAnsi="宋体" w:cs="宋体"/>
          <w:b/>
          <w:bCs/>
          <w:sz w:val="24"/>
        </w:rPr>
      </w:pPr>
      <w:r>
        <w:rPr>
          <w:rFonts w:hint="eastAsia" w:ascii="宋体" w:hAnsi="宋体" w:cs="宋体"/>
          <w:b/>
          <w:bCs/>
          <w:sz w:val="24"/>
        </w:rPr>
        <w:t>16．服务承诺、质量保证、人员安排及其他</w:t>
      </w:r>
    </w:p>
    <w:p w14:paraId="21F614B7">
      <w:pPr>
        <w:spacing w:line="360" w:lineRule="auto"/>
        <w:rPr>
          <w:rFonts w:hint="eastAsia" w:ascii="宋体" w:hAnsi="宋体" w:cs="宋体"/>
          <w:sz w:val="24"/>
        </w:rPr>
      </w:pPr>
      <w:r>
        <w:rPr>
          <w:rFonts w:hint="eastAsia" w:ascii="宋体" w:hAnsi="宋体" w:cs="宋体"/>
          <w:sz w:val="24"/>
        </w:rPr>
        <w:t>16.1投标人需根据招标文件要求提供有关服务的管理制度，服务机构的分布情况，服务人员的数量、素质、技术水平及服务的反应能力等。</w:t>
      </w:r>
    </w:p>
    <w:p w14:paraId="7FC20768">
      <w:pPr>
        <w:spacing w:line="360" w:lineRule="auto"/>
        <w:rPr>
          <w:rFonts w:hint="eastAsia" w:ascii="宋体" w:hAnsi="宋体" w:cs="宋体"/>
          <w:sz w:val="24"/>
        </w:rPr>
      </w:pPr>
      <w:r>
        <w:rPr>
          <w:rFonts w:hint="eastAsia" w:ascii="宋体" w:hAnsi="宋体" w:cs="宋体"/>
          <w:sz w:val="24"/>
        </w:rPr>
        <w:t>16.2 投标人需根据招标文件要求提供服务的质量保证措施。</w:t>
      </w:r>
    </w:p>
    <w:p w14:paraId="0C0E24F0">
      <w:pPr>
        <w:spacing w:before="120" w:line="360" w:lineRule="auto"/>
        <w:rPr>
          <w:rFonts w:hint="eastAsia" w:ascii="宋体" w:hAnsi="宋体" w:cs="宋体"/>
          <w:b/>
          <w:bCs/>
          <w:sz w:val="24"/>
        </w:rPr>
      </w:pPr>
      <w:bookmarkStart w:id="65" w:name="_Toc49090511"/>
      <w:bookmarkStart w:id="66" w:name="_Toc14577360"/>
      <w:r>
        <w:rPr>
          <w:rFonts w:hint="eastAsia" w:ascii="宋体" w:hAnsi="宋体" w:cs="宋体"/>
          <w:b/>
          <w:bCs/>
          <w:sz w:val="24"/>
        </w:rPr>
        <w:t>17．投标有效期</w:t>
      </w:r>
      <w:bookmarkEnd w:id="65"/>
      <w:bookmarkEnd w:id="66"/>
    </w:p>
    <w:p w14:paraId="5E482722">
      <w:pPr>
        <w:spacing w:line="360" w:lineRule="auto"/>
        <w:rPr>
          <w:rFonts w:hint="eastAsia" w:ascii="宋体" w:hAnsi="宋体"/>
          <w:bCs/>
          <w:sz w:val="24"/>
          <w:szCs w:val="21"/>
        </w:rPr>
      </w:pPr>
      <w:r>
        <w:rPr>
          <w:rFonts w:hint="eastAsia" w:ascii="宋体" w:hAnsi="宋体"/>
          <w:bCs/>
          <w:sz w:val="24"/>
          <w:szCs w:val="21"/>
        </w:rPr>
        <w:t>17.1投标有效期为开标之日后</w:t>
      </w:r>
      <w:r>
        <w:rPr>
          <w:rFonts w:hint="eastAsia" w:ascii="宋体" w:hAnsi="宋体"/>
          <w:b/>
          <w:sz w:val="24"/>
          <w:szCs w:val="21"/>
          <w:u w:val="single"/>
        </w:rPr>
        <w:t>九十（90）天</w:t>
      </w:r>
      <w:r>
        <w:rPr>
          <w:rFonts w:hint="eastAsia" w:ascii="宋体" w:hAnsi="宋体"/>
          <w:bCs/>
          <w:sz w:val="24"/>
          <w:szCs w:val="21"/>
        </w:rPr>
        <w:t>。投标有效期比规定短的将被视为未实质性响应招标文件而予以拒绝。</w:t>
      </w:r>
    </w:p>
    <w:p w14:paraId="32D4E6D2">
      <w:pPr>
        <w:spacing w:before="120" w:line="360" w:lineRule="auto"/>
        <w:rPr>
          <w:rFonts w:hint="eastAsia" w:ascii="宋体" w:hAnsi="宋体" w:cs="宋体"/>
          <w:b/>
          <w:bCs/>
          <w:sz w:val="24"/>
        </w:rPr>
      </w:pPr>
      <w:r>
        <w:rPr>
          <w:rFonts w:hint="eastAsia" w:ascii="宋体" w:hAnsi="宋体" w:cs="宋体"/>
          <w:b/>
          <w:bCs/>
          <w:sz w:val="24"/>
        </w:rPr>
        <w:t>18．投标有效期的延长</w:t>
      </w:r>
    </w:p>
    <w:p w14:paraId="1ABA89A6">
      <w:pPr>
        <w:spacing w:line="360" w:lineRule="auto"/>
        <w:rPr>
          <w:rFonts w:hint="eastAsia" w:ascii="宋体" w:hAnsi="宋体"/>
          <w:bCs/>
          <w:sz w:val="24"/>
          <w:szCs w:val="21"/>
        </w:rPr>
      </w:pPr>
      <w:r>
        <w:rPr>
          <w:rFonts w:hint="eastAsia" w:ascii="宋体" w:hAnsi="宋体"/>
          <w:bCs/>
          <w:sz w:val="24"/>
          <w:szCs w:val="21"/>
        </w:rPr>
        <w:t>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sz w:val="24"/>
        </w:rPr>
        <w:t>受投标有效期约束的所有权利与义务均延长至新的有效期</w:t>
      </w:r>
      <w:r>
        <w:rPr>
          <w:rFonts w:hint="eastAsia" w:ascii="宋体" w:hAnsi="宋体"/>
          <w:bCs/>
          <w:sz w:val="24"/>
          <w:szCs w:val="21"/>
        </w:rPr>
        <w:t>。</w:t>
      </w:r>
    </w:p>
    <w:p w14:paraId="64952F87">
      <w:pPr>
        <w:pStyle w:val="186"/>
        <w:spacing w:after="120"/>
        <w:rPr>
          <w:rFonts w:hint="eastAsia" w:ascii="宋体" w:hAnsi="宋体" w:eastAsia="宋体" w:cs="Arial"/>
          <w:sz w:val="24"/>
        </w:rPr>
      </w:pPr>
      <w:bookmarkStart w:id="67" w:name="_Hlt26954852"/>
      <w:bookmarkEnd w:id="67"/>
      <w:bookmarkStart w:id="68" w:name="_Hlt26954739"/>
      <w:bookmarkEnd w:id="68"/>
      <w:bookmarkStart w:id="69" w:name="_Toc31820"/>
      <w:bookmarkStart w:id="70" w:name="_Toc513029224"/>
      <w:bookmarkStart w:id="71" w:name="_Toc16938540"/>
      <w:bookmarkStart w:id="72" w:name="_Toc20823296"/>
      <w:bookmarkStart w:id="73" w:name="_Toc120614217"/>
      <w:r>
        <w:rPr>
          <w:rFonts w:hint="eastAsia" w:ascii="宋体" w:hAnsi="宋体" w:eastAsia="宋体" w:cs="Arial"/>
          <w:sz w:val="24"/>
        </w:rPr>
        <w:t>五、投标文件的递交</w:t>
      </w:r>
      <w:bookmarkEnd w:id="69"/>
      <w:bookmarkEnd w:id="70"/>
      <w:bookmarkEnd w:id="71"/>
      <w:bookmarkEnd w:id="72"/>
      <w:bookmarkEnd w:id="73"/>
    </w:p>
    <w:p w14:paraId="410E3D83">
      <w:pPr>
        <w:spacing w:before="120" w:line="360" w:lineRule="auto"/>
        <w:rPr>
          <w:rFonts w:hint="eastAsia" w:ascii="宋体" w:hAnsi="宋体" w:cs="宋体"/>
          <w:b/>
          <w:bCs/>
          <w:sz w:val="24"/>
        </w:rPr>
      </w:pPr>
      <w:bookmarkStart w:id="74" w:name="_Toc16938541"/>
      <w:bookmarkStart w:id="75" w:name="_Toc20823297"/>
      <w:bookmarkStart w:id="76" w:name="_Toc513029225"/>
      <w:bookmarkStart w:id="77" w:name="_Toc462564084"/>
      <w:r>
        <w:rPr>
          <w:rFonts w:hint="eastAsia" w:ascii="宋体" w:hAnsi="宋体" w:cs="宋体"/>
          <w:b/>
          <w:bCs/>
          <w:sz w:val="24"/>
        </w:rPr>
        <w:t>19．电子投标文件</w:t>
      </w:r>
      <w:bookmarkEnd w:id="74"/>
      <w:bookmarkEnd w:id="75"/>
      <w:bookmarkEnd w:id="76"/>
      <w:bookmarkEnd w:id="77"/>
      <w:r>
        <w:rPr>
          <w:rFonts w:hint="eastAsia" w:ascii="宋体" w:hAnsi="宋体" w:cs="宋体"/>
          <w:b/>
          <w:bCs/>
          <w:sz w:val="24"/>
        </w:rPr>
        <w:t>的递交</w:t>
      </w:r>
    </w:p>
    <w:p w14:paraId="0CBB6EFB">
      <w:pPr>
        <w:spacing w:line="360" w:lineRule="auto"/>
        <w:rPr>
          <w:rFonts w:hint="eastAsia" w:ascii="宋体" w:hAnsi="宋体"/>
          <w:bCs/>
          <w:sz w:val="24"/>
          <w:szCs w:val="21"/>
        </w:rPr>
      </w:pPr>
      <w:r>
        <w:rPr>
          <w:rFonts w:hint="eastAsia" w:ascii="宋体" w:hAnsi="宋体"/>
          <w:bCs/>
          <w:sz w:val="24"/>
          <w:szCs w:val="21"/>
        </w:rPr>
        <w:t>19.1投标人应当按照《操作手册》规定，在投标截止时间前制作并上传电子投标文件。</w:t>
      </w:r>
      <w:bookmarkStart w:id="78" w:name="_Toc513029226"/>
      <w:bookmarkStart w:id="79" w:name="_Toc16938542"/>
      <w:bookmarkStart w:id="80" w:name="_Toc20823298"/>
    </w:p>
    <w:p w14:paraId="2A912D6C">
      <w:pPr>
        <w:spacing w:before="120" w:line="360" w:lineRule="auto"/>
        <w:rPr>
          <w:rFonts w:hint="eastAsia" w:ascii="宋体" w:hAnsi="宋体" w:cs="宋体"/>
          <w:b/>
          <w:bCs/>
          <w:sz w:val="24"/>
        </w:rPr>
      </w:pPr>
      <w:r>
        <w:rPr>
          <w:rFonts w:hint="eastAsia" w:ascii="宋体" w:hAnsi="宋体" w:cs="宋体"/>
          <w:b/>
          <w:bCs/>
          <w:sz w:val="24"/>
        </w:rPr>
        <w:t>20．投标截止日期</w:t>
      </w:r>
      <w:bookmarkEnd w:id="78"/>
      <w:bookmarkEnd w:id="79"/>
      <w:bookmarkEnd w:id="80"/>
    </w:p>
    <w:p w14:paraId="061EB70A">
      <w:pPr>
        <w:spacing w:line="360" w:lineRule="auto"/>
        <w:rPr>
          <w:rFonts w:hint="eastAsia" w:ascii="宋体" w:hAnsi="宋体"/>
          <w:bCs/>
          <w:sz w:val="24"/>
          <w:szCs w:val="21"/>
        </w:rPr>
      </w:pPr>
      <w:r>
        <w:rPr>
          <w:rFonts w:hint="eastAsia" w:ascii="宋体" w:hAnsi="宋体"/>
          <w:bCs/>
          <w:sz w:val="24"/>
          <w:szCs w:val="21"/>
        </w:rPr>
        <w:t>20.1 投标人上传电子投标文件的时间不得迟于招标公告中规定的投标截止时间。</w:t>
      </w:r>
    </w:p>
    <w:p w14:paraId="1D00002C">
      <w:pPr>
        <w:spacing w:line="360" w:lineRule="auto"/>
        <w:rPr>
          <w:rFonts w:hint="eastAsia" w:ascii="宋体" w:hAnsi="宋体"/>
          <w:bCs/>
          <w:sz w:val="24"/>
          <w:szCs w:val="21"/>
        </w:rPr>
      </w:pPr>
      <w:r>
        <w:rPr>
          <w:rFonts w:hint="eastAsia" w:ascii="宋体" w:hAnsi="宋体"/>
          <w:bCs/>
          <w:sz w:val="24"/>
          <w:szCs w:val="21"/>
        </w:rPr>
        <w:t>投标人应充分考虑到网络环境、网络带宽等风险因素，如因投标人自身原因造成的电子投标文件上传不成功的按照本招标文件第二章第28.1.2条规定做无效投标处理。</w:t>
      </w:r>
    </w:p>
    <w:p w14:paraId="28D573CE">
      <w:pPr>
        <w:spacing w:line="360" w:lineRule="auto"/>
        <w:rPr>
          <w:rFonts w:hint="eastAsia" w:ascii="宋体" w:hAnsi="宋体"/>
          <w:bCs/>
          <w:sz w:val="24"/>
          <w:szCs w:val="21"/>
        </w:rPr>
      </w:pPr>
      <w:r>
        <w:rPr>
          <w:rFonts w:hint="eastAsia" w:ascii="宋体" w:hAnsi="宋体"/>
          <w:bCs/>
          <w:sz w:val="24"/>
          <w:szCs w:val="21"/>
        </w:rPr>
        <w:t>20.2 采购代理机构可以按照规定，通过修改招标文件酌情延长投标截止日期，在此情况下，投标人的所有权利和义务以及投标人受制的截止日期均应以延长后新的截止日期为准。</w:t>
      </w:r>
    </w:p>
    <w:p w14:paraId="3BDA2CD9">
      <w:pPr>
        <w:spacing w:before="120" w:line="360" w:lineRule="auto"/>
        <w:rPr>
          <w:rFonts w:hint="eastAsia" w:ascii="宋体" w:hAnsi="宋体" w:cs="宋体"/>
          <w:b/>
          <w:bCs/>
          <w:sz w:val="24"/>
        </w:rPr>
      </w:pPr>
      <w:bookmarkStart w:id="81" w:name="_Toc20823299"/>
      <w:bookmarkStart w:id="82" w:name="_Toc16938543"/>
      <w:bookmarkStart w:id="83" w:name="_Toc513029227"/>
      <w:r>
        <w:rPr>
          <w:rFonts w:hint="eastAsia" w:ascii="宋体" w:hAnsi="宋体" w:cs="宋体"/>
          <w:b/>
          <w:bCs/>
          <w:sz w:val="24"/>
        </w:rPr>
        <w:t>21．投标文件</w:t>
      </w:r>
      <w:bookmarkEnd w:id="81"/>
      <w:bookmarkEnd w:id="82"/>
      <w:bookmarkEnd w:id="83"/>
      <w:r>
        <w:rPr>
          <w:rFonts w:hint="eastAsia" w:ascii="宋体" w:hAnsi="宋体" w:cs="宋体"/>
          <w:b/>
          <w:bCs/>
          <w:sz w:val="24"/>
        </w:rPr>
        <w:t>的拒收</w:t>
      </w:r>
    </w:p>
    <w:p w14:paraId="36709E2D">
      <w:pPr>
        <w:spacing w:line="360" w:lineRule="auto"/>
        <w:rPr>
          <w:rFonts w:hint="eastAsia" w:ascii="宋体" w:hAnsi="宋体"/>
          <w:bCs/>
          <w:sz w:val="24"/>
          <w:szCs w:val="21"/>
        </w:rPr>
      </w:pPr>
      <w:r>
        <w:rPr>
          <w:rFonts w:hint="eastAsia" w:ascii="宋体" w:hAnsi="宋体"/>
          <w:bCs/>
          <w:sz w:val="24"/>
          <w:szCs w:val="21"/>
        </w:rPr>
        <w:t>21.1 采购代理机构拒绝接收在其规定的投标截止时间后上传的任何投标文件。</w:t>
      </w:r>
    </w:p>
    <w:p w14:paraId="2F4D8EC7">
      <w:pPr>
        <w:spacing w:before="120" w:line="360" w:lineRule="auto"/>
        <w:rPr>
          <w:rFonts w:hint="eastAsia" w:ascii="宋体" w:hAnsi="宋体" w:cs="宋体"/>
          <w:b/>
          <w:bCs/>
          <w:sz w:val="24"/>
        </w:rPr>
      </w:pPr>
      <w:bookmarkStart w:id="84" w:name="_Toc16938544"/>
      <w:bookmarkStart w:id="85" w:name="_Toc513029228"/>
      <w:bookmarkStart w:id="86" w:name="_Toc20823300"/>
      <w:r>
        <w:rPr>
          <w:rFonts w:hint="eastAsia" w:ascii="宋体" w:hAnsi="宋体" w:cs="宋体"/>
          <w:b/>
          <w:bCs/>
          <w:sz w:val="24"/>
        </w:rPr>
        <w:t>22．投标文件的撤回和修改</w:t>
      </w:r>
      <w:bookmarkEnd w:id="84"/>
      <w:bookmarkEnd w:id="85"/>
      <w:bookmarkEnd w:id="86"/>
    </w:p>
    <w:p w14:paraId="709E29CB">
      <w:pPr>
        <w:spacing w:line="360" w:lineRule="auto"/>
        <w:rPr>
          <w:rFonts w:hint="eastAsia" w:ascii="宋体" w:hAnsi="宋体"/>
          <w:bCs/>
          <w:sz w:val="24"/>
          <w:szCs w:val="21"/>
        </w:rPr>
      </w:pPr>
      <w:r>
        <w:rPr>
          <w:rFonts w:hint="eastAsia" w:ascii="宋体" w:hAnsi="宋体"/>
          <w:bCs/>
          <w:sz w:val="24"/>
          <w:szCs w:val="21"/>
        </w:rPr>
        <w:t>22.1 投标文件的撤回</w:t>
      </w:r>
    </w:p>
    <w:p w14:paraId="0CAD94A3">
      <w:pPr>
        <w:spacing w:line="360" w:lineRule="auto"/>
        <w:rPr>
          <w:rFonts w:hint="eastAsia" w:ascii="宋体" w:hAnsi="宋体"/>
          <w:bCs/>
          <w:sz w:val="24"/>
          <w:szCs w:val="21"/>
        </w:rPr>
      </w:pPr>
      <w:r>
        <w:rPr>
          <w:rFonts w:hint="eastAsia" w:ascii="宋体" w:hAnsi="宋体"/>
          <w:bCs/>
          <w:sz w:val="24"/>
          <w:szCs w:val="21"/>
        </w:rPr>
        <w:t>22.1.1 电子投标文件的撤回</w:t>
      </w:r>
    </w:p>
    <w:p w14:paraId="441F1B6F">
      <w:pPr>
        <w:spacing w:line="360" w:lineRule="auto"/>
        <w:rPr>
          <w:rFonts w:hint="eastAsia" w:ascii="宋体" w:hAnsi="宋体"/>
          <w:bCs/>
          <w:sz w:val="24"/>
          <w:szCs w:val="21"/>
        </w:rPr>
      </w:pPr>
      <w:r>
        <w:rPr>
          <w:rFonts w:hint="eastAsia" w:ascii="宋体" w:hAnsi="宋体"/>
          <w:bCs/>
          <w:sz w:val="24"/>
          <w:szCs w:val="21"/>
        </w:rPr>
        <w:t>投标人可在投标截止时间前，撤回其电子投标文件，具体操作方法见《操作手册》。</w:t>
      </w:r>
    </w:p>
    <w:p w14:paraId="76FAC947">
      <w:pPr>
        <w:spacing w:line="360" w:lineRule="auto"/>
        <w:rPr>
          <w:rFonts w:hint="eastAsia" w:ascii="宋体" w:hAnsi="宋体"/>
          <w:bCs/>
          <w:sz w:val="24"/>
          <w:szCs w:val="21"/>
        </w:rPr>
      </w:pPr>
      <w:r>
        <w:rPr>
          <w:rFonts w:hint="eastAsia" w:ascii="宋体" w:hAnsi="宋体"/>
          <w:bCs/>
          <w:sz w:val="24"/>
          <w:szCs w:val="21"/>
        </w:rPr>
        <w:t>22.1.2 投标人撤回电子投标文件，则认为其不再参与本项目投标活动。</w:t>
      </w:r>
    </w:p>
    <w:p w14:paraId="1B26E384">
      <w:pPr>
        <w:spacing w:line="360" w:lineRule="auto"/>
        <w:rPr>
          <w:rFonts w:hint="eastAsia" w:ascii="宋体" w:hAnsi="宋体"/>
          <w:bCs/>
          <w:sz w:val="24"/>
          <w:szCs w:val="21"/>
        </w:rPr>
      </w:pPr>
      <w:r>
        <w:rPr>
          <w:rFonts w:hint="eastAsia" w:ascii="宋体" w:hAnsi="宋体"/>
          <w:bCs/>
          <w:sz w:val="24"/>
          <w:szCs w:val="21"/>
        </w:rPr>
        <w:t>22.2 投标文件的修改</w:t>
      </w:r>
    </w:p>
    <w:p w14:paraId="34F16B9E">
      <w:pPr>
        <w:spacing w:line="360" w:lineRule="auto"/>
        <w:rPr>
          <w:rFonts w:hint="eastAsia" w:ascii="宋体" w:hAnsi="宋体"/>
          <w:bCs/>
          <w:sz w:val="24"/>
          <w:szCs w:val="21"/>
        </w:rPr>
      </w:pPr>
      <w:r>
        <w:rPr>
          <w:rFonts w:hint="eastAsia" w:ascii="宋体" w:hAnsi="宋体"/>
          <w:bCs/>
          <w:sz w:val="24"/>
          <w:szCs w:val="21"/>
        </w:rPr>
        <w:t>22.2.1投标人可在投标截止时间前，对其电子投标文件进行修改，具体操作方法见《操作手册》。</w:t>
      </w:r>
    </w:p>
    <w:p w14:paraId="5C3506C8">
      <w:pPr>
        <w:spacing w:line="360" w:lineRule="auto"/>
        <w:rPr>
          <w:rFonts w:hint="eastAsia" w:ascii="宋体" w:hAnsi="宋体"/>
          <w:bCs/>
          <w:sz w:val="24"/>
          <w:szCs w:val="21"/>
        </w:rPr>
      </w:pPr>
      <w:r>
        <w:rPr>
          <w:rFonts w:hint="eastAsia" w:ascii="宋体" w:hAnsi="宋体"/>
          <w:bCs/>
          <w:sz w:val="24"/>
          <w:szCs w:val="21"/>
        </w:rPr>
        <w:t>22.2.2 在投标截止时间之后，投标人不得对其电子投标文件作任何修改。</w:t>
      </w:r>
    </w:p>
    <w:p w14:paraId="34CCCB95">
      <w:pPr>
        <w:spacing w:line="360" w:lineRule="auto"/>
        <w:rPr>
          <w:rFonts w:hint="eastAsia" w:ascii="宋体" w:hAnsi="宋体"/>
          <w:bCs/>
          <w:sz w:val="24"/>
          <w:szCs w:val="21"/>
        </w:rPr>
      </w:pPr>
      <w:r>
        <w:rPr>
          <w:rFonts w:hint="eastAsia" w:ascii="宋体" w:hAnsi="宋体"/>
          <w:bCs/>
          <w:sz w:val="24"/>
          <w:szCs w:val="21"/>
        </w:rPr>
        <w:t>22.3在投标截止时间至招标文件中规定的投标有效期满之间的这段时间内，投标人不得撤回其投标。</w:t>
      </w:r>
    </w:p>
    <w:p w14:paraId="082DBF58">
      <w:pPr>
        <w:pStyle w:val="186"/>
        <w:spacing w:after="120"/>
        <w:rPr>
          <w:rFonts w:ascii="宋体" w:hAnsi="宋体" w:cs="Arial"/>
          <w:sz w:val="24"/>
        </w:rPr>
      </w:pPr>
      <w:r>
        <w:rPr>
          <w:rFonts w:ascii="宋体" w:hAnsi="宋体" w:cs="Arial"/>
          <w:sz w:val="24"/>
        </w:rPr>
        <w:t>六、开标和评标</w:t>
      </w:r>
    </w:p>
    <w:p w14:paraId="5A2C1507">
      <w:pPr>
        <w:spacing w:before="120" w:line="360" w:lineRule="auto"/>
        <w:rPr>
          <w:rFonts w:hint="eastAsia" w:ascii="宋体" w:hAnsi="宋体" w:cs="宋体"/>
          <w:b/>
          <w:bCs/>
          <w:sz w:val="24"/>
          <w:szCs w:val="24"/>
        </w:rPr>
      </w:pPr>
      <w:bookmarkStart w:id="87" w:name="_Toc513029230"/>
      <w:bookmarkStart w:id="88" w:name="_Toc16938546"/>
      <w:bookmarkStart w:id="89" w:name="_Toc20823302"/>
      <w:r>
        <w:rPr>
          <w:rFonts w:hint="eastAsia" w:ascii="宋体" w:hAnsi="宋体" w:cs="宋体"/>
          <w:b/>
          <w:bCs/>
          <w:sz w:val="24"/>
          <w:szCs w:val="24"/>
        </w:rPr>
        <w:t>23．开标</w:t>
      </w:r>
      <w:bookmarkEnd w:id="87"/>
      <w:bookmarkEnd w:id="88"/>
      <w:bookmarkEnd w:id="89"/>
    </w:p>
    <w:p w14:paraId="610B8FCB">
      <w:pPr>
        <w:spacing w:line="360" w:lineRule="auto"/>
        <w:rPr>
          <w:rFonts w:ascii="宋体" w:hAnsi="宋体"/>
          <w:sz w:val="24"/>
          <w:szCs w:val="24"/>
        </w:rPr>
      </w:pPr>
      <w:r>
        <w:rPr>
          <w:rFonts w:hint="eastAsia" w:ascii="宋体" w:hAnsi="宋体"/>
          <w:sz w:val="24"/>
          <w:szCs w:val="24"/>
        </w:rPr>
        <w:t>23.1</w:t>
      </w:r>
      <w:r>
        <w:rPr>
          <w:rFonts w:hint="eastAsia" w:ascii="宋体" w:hAnsi="宋体"/>
          <w:bCs/>
          <w:sz w:val="24"/>
          <w:szCs w:val="24"/>
        </w:rPr>
        <w:t>采购代理机构将在招标公告中规定的时间和地点组织公开开标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32235737">
      <w:pPr>
        <w:spacing w:line="360" w:lineRule="auto"/>
        <w:rPr>
          <w:rFonts w:hint="eastAsia" w:ascii="宋体" w:hAnsi="宋体"/>
          <w:sz w:val="24"/>
          <w:szCs w:val="24"/>
        </w:rPr>
      </w:pPr>
      <w:r>
        <w:rPr>
          <w:rFonts w:hint="eastAsia" w:ascii="宋体" w:hAnsi="宋体"/>
          <w:bCs/>
          <w:sz w:val="24"/>
          <w:szCs w:val="24"/>
        </w:rPr>
        <w:t>23.2</w:t>
      </w:r>
      <w:r>
        <w:rPr>
          <w:rFonts w:hint="eastAsia" w:ascii="宋体" w:hAnsi="宋体"/>
          <w:sz w:val="24"/>
          <w:szCs w:val="24"/>
        </w:rPr>
        <w:t>开标仪式由采购代理机构组织。苏采云系统将自动对</w:t>
      </w:r>
      <w:r>
        <w:rPr>
          <w:rFonts w:ascii="宋体" w:hAnsi="宋体"/>
          <w:sz w:val="24"/>
          <w:szCs w:val="24"/>
        </w:rPr>
        <w:t>项目进行开标，</w:t>
      </w:r>
      <w:r>
        <w:rPr>
          <w:rFonts w:hint="eastAsia" w:ascii="宋体" w:hAnsi="宋体"/>
          <w:sz w:val="24"/>
          <w:szCs w:val="24"/>
        </w:rPr>
        <w:t>并宣布各投标人名称和投标价格。</w:t>
      </w:r>
    </w:p>
    <w:p w14:paraId="48AB5EE4">
      <w:pPr>
        <w:spacing w:line="360" w:lineRule="auto"/>
        <w:rPr>
          <w:rFonts w:hint="eastAsia" w:ascii="宋体" w:hAnsi="宋体"/>
          <w:sz w:val="24"/>
          <w:szCs w:val="24"/>
        </w:rPr>
      </w:pPr>
      <w:r>
        <w:rPr>
          <w:rFonts w:hint="eastAsia" w:ascii="宋体" w:hAnsi="宋体"/>
          <w:bCs/>
          <w:sz w:val="24"/>
          <w:szCs w:val="24"/>
        </w:rPr>
        <w:t>23.3投标人在开标过程中涉及到的投标文件解密、开标结果确认等工作，应按照《操作手册》规定执行。</w:t>
      </w:r>
    </w:p>
    <w:p w14:paraId="241EDFEA">
      <w:pPr>
        <w:spacing w:line="360" w:lineRule="auto"/>
        <w:rPr>
          <w:rFonts w:hint="eastAsia" w:ascii="宋体" w:hAnsi="宋体"/>
          <w:sz w:val="24"/>
          <w:szCs w:val="24"/>
        </w:rPr>
      </w:pPr>
      <w:r>
        <w:rPr>
          <w:rFonts w:hint="eastAsia" w:ascii="宋体" w:hAnsi="宋体"/>
          <w:sz w:val="24"/>
          <w:szCs w:val="24"/>
        </w:rPr>
        <w:t>23.4投标人如果对开标过程和开标记录有疑义，应当根据《操作手册》规定提出，如 苏采云系统中《开标记录表》宣布后5分钟内未提出的，视同认可开标结果。</w:t>
      </w:r>
    </w:p>
    <w:p w14:paraId="4E518DC7">
      <w:pPr>
        <w:spacing w:before="120" w:line="360" w:lineRule="auto"/>
        <w:rPr>
          <w:rFonts w:hint="eastAsia" w:ascii="宋体" w:hAnsi="宋体" w:cs="宋体"/>
          <w:b/>
          <w:bCs/>
          <w:sz w:val="24"/>
          <w:szCs w:val="24"/>
        </w:rPr>
      </w:pPr>
      <w:bookmarkStart w:id="90" w:name="_Toc16938547"/>
      <w:bookmarkStart w:id="91" w:name="_Toc513029231"/>
      <w:bookmarkStart w:id="92" w:name="_Toc20823303"/>
      <w:r>
        <w:rPr>
          <w:rFonts w:hint="eastAsia" w:ascii="宋体" w:hAnsi="宋体" w:cs="宋体"/>
          <w:b/>
          <w:bCs/>
          <w:sz w:val="24"/>
          <w:szCs w:val="24"/>
        </w:rPr>
        <w:t>24．评标委员会</w:t>
      </w:r>
    </w:p>
    <w:p w14:paraId="185CD5A8">
      <w:pPr>
        <w:spacing w:line="360" w:lineRule="auto"/>
        <w:rPr>
          <w:rFonts w:hint="eastAsia" w:ascii="宋体" w:hAnsi="宋体"/>
          <w:sz w:val="24"/>
          <w:szCs w:val="24"/>
        </w:rPr>
      </w:pPr>
      <w:r>
        <w:rPr>
          <w:rFonts w:hint="eastAsia" w:ascii="宋体" w:hAnsi="宋体"/>
          <w:sz w:val="24"/>
          <w:szCs w:val="24"/>
        </w:rPr>
        <w:t>24.1</w:t>
      </w:r>
      <w:r>
        <w:rPr>
          <w:rFonts w:hint="eastAsia" w:ascii="宋体" w:hAnsi="宋体"/>
          <w:b/>
          <w:sz w:val="24"/>
          <w:szCs w:val="24"/>
        </w:rPr>
        <w:t xml:space="preserve"> </w:t>
      </w:r>
      <w:r>
        <w:rPr>
          <w:rFonts w:hint="eastAsia" w:ascii="宋体" w:hAnsi="宋体"/>
          <w:sz w:val="24"/>
          <w:szCs w:val="24"/>
        </w:rPr>
        <w:t>开标后，采购代理机构将立即组织评标委员会（以下简称评委会）进行评标。</w:t>
      </w:r>
    </w:p>
    <w:p w14:paraId="74A80C64">
      <w:pPr>
        <w:spacing w:line="360" w:lineRule="auto"/>
        <w:rPr>
          <w:rFonts w:hint="eastAsia" w:ascii="宋体" w:hAnsi="宋体"/>
          <w:sz w:val="24"/>
          <w:szCs w:val="24"/>
        </w:rPr>
      </w:pPr>
      <w:r>
        <w:rPr>
          <w:rFonts w:hint="eastAsia" w:ascii="宋体" w:hAnsi="宋体"/>
          <w:sz w:val="24"/>
          <w:szCs w:val="24"/>
        </w:rPr>
        <w:t>24.2评委会由采购人代表和有关技术、经济等方面的专家组成，且人员构成符合政府采购有关规定。</w:t>
      </w:r>
    </w:p>
    <w:p w14:paraId="3E0A1CAA">
      <w:pPr>
        <w:spacing w:line="360" w:lineRule="auto"/>
        <w:rPr>
          <w:rFonts w:hint="eastAsia" w:ascii="宋体" w:hAnsi="宋体"/>
          <w:sz w:val="24"/>
          <w:szCs w:val="24"/>
        </w:rPr>
      </w:pPr>
      <w:r>
        <w:rPr>
          <w:rFonts w:hint="eastAsia" w:ascii="宋体" w:hAnsi="宋体"/>
          <w:sz w:val="24"/>
          <w:szCs w:val="24"/>
        </w:rPr>
        <w:t>24.3评委会独立工作，负责评审所有投标文件并确定中标候选人。</w:t>
      </w:r>
    </w:p>
    <w:p w14:paraId="7572C2D1">
      <w:pPr>
        <w:spacing w:before="120" w:line="360" w:lineRule="auto"/>
        <w:rPr>
          <w:rFonts w:hint="eastAsia" w:ascii="宋体" w:hAnsi="宋体" w:cs="宋体"/>
          <w:b/>
          <w:bCs/>
          <w:sz w:val="24"/>
          <w:szCs w:val="24"/>
        </w:rPr>
      </w:pPr>
      <w:r>
        <w:rPr>
          <w:rFonts w:hint="eastAsia" w:ascii="宋体" w:hAnsi="宋体" w:cs="宋体"/>
          <w:b/>
          <w:bCs/>
          <w:sz w:val="24"/>
          <w:szCs w:val="24"/>
        </w:rPr>
        <w:t>25．评标过程的保密与公正</w:t>
      </w:r>
    </w:p>
    <w:bookmarkEnd w:id="90"/>
    <w:bookmarkEnd w:id="91"/>
    <w:bookmarkEnd w:id="92"/>
    <w:p w14:paraId="0A6BC8A9">
      <w:pPr>
        <w:spacing w:line="360" w:lineRule="auto"/>
        <w:rPr>
          <w:rFonts w:hint="eastAsia" w:ascii="宋体" w:hAnsi="宋体"/>
          <w:bCs/>
          <w:sz w:val="24"/>
          <w:szCs w:val="24"/>
        </w:rPr>
      </w:pPr>
      <w:r>
        <w:rPr>
          <w:rFonts w:hint="eastAsia" w:ascii="宋体" w:hAnsi="宋体"/>
          <w:sz w:val="24"/>
          <w:szCs w:val="24"/>
        </w:rPr>
        <w:t>25.1</w:t>
      </w:r>
      <w:r>
        <w:rPr>
          <w:rFonts w:hint="eastAsia" w:ascii="宋体" w:hAnsi="宋体"/>
          <w:bCs/>
          <w:sz w:val="24"/>
          <w:szCs w:val="24"/>
        </w:rPr>
        <w:t>凡是与审查、澄清、评价和比较投标的有关资料以及授标建议等，采购人、评委、采购代理机构均不得向投标人或与评标无关的其他人员透露。</w:t>
      </w:r>
    </w:p>
    <w:p w14:paraId="72D26543">
      <w:pPr>
        <w:spacing w:line="360" w:lineRule="auto"/>
        <w:rPr>
          <w:rFonts w:hint="eastAsia" w:ascii="宋体" w:hAnsi="宋体"/>
          <w:sz w:val="24"/>
          <w:szCs w:val="24"/>
        </w:rPr>
      </w:pPr>
      <w:r>
        <w:rPr>
          <w:rFonts w:hint="eastAsia" w:ascii="宋体" w:hAnsi="宋体"/>
          <w:sz w:val="24"/>
          <w:szCs w:val="24"/>
        </w:rPr>
        <w:t>25.2在评标过程中，投标人不得以任何行为影响评标过程，否则其投标文件将被作为无效投标文件。</w:t>
      </w:r>
    </w:p>
    <w:p w14:paraId="7BD65D6A">
      <w:pPr>
        <w:spacing w:line="360" w:lineRule="auto"/>
        <w:rPr>
          <w:rFonts w:hint="eastAsia"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3</w:t>
      </w:r>
      <w:r>
        <w:rPr>
          <w:rFonts w:hint="eastAsia" w:ascii="宋体" w:hAnsi="宋体"/>
          <w:sz w:val="24"/>
          <w:szCs w:val="24"/>
        </w:rPr>
        <w:t>采购代理机构和评标委员会不向未中标的投标人解释未中标原因，也不公布评标过程中的相关细节。</w:t>
      </w:r>
    </w:p>
    <w:p w14:paraId="1A6728F7">
      <w:pPr>
        <w:spacing w:line="360" w:lineRule="auto"/>
        <w:rPr>
          <w:rFonts w:hint="eastAsia" w:ascii="宋体" w:hAnsi="宋体"/>
          <w:sz w:val="24"/>
          <w:szCs w:val="24"/>
        </w:rPr>
      </w:pPr>
      <w:r>
        <w:rPr>
          <w:rFonts w:hint="eastAsia" w:ascii="宋体" w:hAnsi="宋体"/>
          <w:sz w:val="24"/>
          <w:szCs w:val="24"/>
        </w:rPr>
        <w:t>25.</w:t>
      </w:r>
      <w:r>
        <w:rPr>
          <w:rFonts w:ascii="宋体" w:hAnsi="宋体"/>
          <w:sz w:val="24"/>
          <w:szCs w:val="24"/>
        </w:rPr>
        <w:t>4</w:t>
      </w:r>
      <w:r>
        <w:rPr>
          <w:rFonts w:hint="eastAsia" w:ascii="宋体" w:hAnsi="宋体"/>
          <w:sz w:val="24"/>
          <w:szCs w:val="24"/>
        </w:rPr>
        <w:t>采用综合评分法的项目，未中标的投标人可于中标结果公告期限届满之日起通过苏采云系统查看自己的评审得分及排序情况。</w:t>
      </w:r>
    </w:p>
    <w:p w14:paraId="3A6870DC">
      <w:pPr>
        <w:spacing w:before="120" w:line="360" w:lineRule="auto"/>
        <w:rPr>
          <w:rFonts w:hint="eastAsia" w:ascii="宋体" w:hAnsi="宋体" w:cs="宋体"/>
          <w:b/>
          <w:bCs/>
          <w:sz w:val="24"/>
          <w:szCs w:val="24"/>
        </w:rPr>
      </w:pPr>
      <w:bookmarkStart w:id="93" w:name="_Toc16938548"/>
      <w:bookmarkStart w:id="94" w:name="_Toc513029232"/>
      <w:bookmarkStart w:id="95" w:name="_Toc20823304"/>
      <w:r>
        <w:rPr>
          <w:rFonts w:hint="eastAsia" w:ascii="宋体" w:hAnsi="宋体" w:cs="宋体"/>
          <w:b/>
          <w:bCs/>
          <w:sz w:val="24"/>
          <w:szCs w:val="24"/>
        </w:rPr>
        <w:t>26．投标文件的澄清</w:t>
      </w:r>
      <w:bookmarkEnd w:id="93"/>
      <w:bookmarkEnd w:id="94"/>
      <w:bookmarkEnd w:id="95"/>
    </w:p>
    <w:p w14:paraId="7E4CF88D">
      <w:pPr>
        <w:spacing w:line="360" w:lineRule="auto"/>
        <w:rPr>
          <w:rFonts w:hint="eastAsia" w:ascii="宋体" w:hAnsi="宋体"/>
          <w:sz w:val="24"/>
          <w:szCs w:val="24"/>
        </w:rPr>
      </w:pPr>
      <w:bookmarkStart w:id="96" w:name="_Toc513029233"/>
      <w:bookmarkStart w:id="97" w:name="_Toc16938549"/>
      <w:bookmarkStart w:id="98" w:name="_Toc20823305"/>
      <w:r>
        <w:rPr>
          <w:rFonts w:ascii="宋体" w:hAnsi="宋体"/>
          <w:sz w:val="24"/>
          <w:szCs w:val="24"/>
        </w:rPr>
        <w:t>2</w:t>
      </w:r>
      <w:r>
        <w:rPr>
          <w:rFonts w:hint="eastAsia" w:ascii="宋体" w:hAnsi="宋体"/>
          <w:sz w:val="24"/>
          <w:szCs w:val="24"/>
        </w:rPr>
        <w:t>6.</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7ED4A395">
      <w:pPr>
        <w:spacing w:line="360" w:lineRule="auto"/>
        <w:ind w:firstLine="480"/>
        <w:rPr>
          <w:rFonts w:hint="eastAsia"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59C47D16">
      <w:pPr>
        <w:spacing w:line="360" w:lineRule="auto"/>
        <w:ind w:firstLine="48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4F99A180">
      <w:pPr>
        <w:spacing w:line="360" w:lineRule="auto"/>
        <w:rPr>
          <w:rFonts w:hint="eastAsia" w:ascii="宋体" w:hAnsi="宋体"/>
          <w:sz w:val="24"/>
          <w:szCs w:val="24"/>
        </w:rPr>
      </w:pPr>
      <w:r>
        <w:rPr>
          <w:rFonts w:hint="eastAsia" w:ascii="宋体" w:hAnsi="宋体"/>
          <w:sz w:val="24"/>
          <w:szCs w:val="24"/>
        </w:rPr>
        <w:t>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5E5CE2F">
      <w:pPr>
        <w:spacing w:line="360" w:lineRule="auto"/>
        <w:rPr>
          <w:rFonts w:hint="eastAsia" w:ascii="宋体" w:hAnsi="宋体"/>
          <w:sz w:val="24"/>
          <w:szCs w:val="24"/>
        </w:rPr>
      </w:pPr>
      <w:r>
        <w:rPr>
          <w:rFonts w:hint="eastAsia" w:ascii="宋体" w:hAnsi="宋体"/>
          <w:sz w:val="24"/>
          <w:szCs w:val="24"/>
        </w:rPr>
        <w:t>26.3 接到评标</w:t>
      </w:r>
      <w:r>
        <w:rPr>
          <w:rFonts w:ascii="宋体" w:hAnsi="宋体"/>
          <w:sz w:val="24"/>
          <w:szCs w:val="24"/>
        </w:rPr>
        <w:t>委员会</w:t>
      </w:r>
      <w:r>
        <w:rPr>
          <w:rFonts w:hint="eastAsia" w:ascii="宋体" w:hAnsi="宋体"/>
          <w:sz w:val="24"/>
          <w:szCs w:val="24"/>
        </w:rPr>
        <w:t>澄清、说明和补正要求的投标人如未按规定做出澄清、说明和补正，其风险由投标人自行承担。</w:t>
      </w:r>
    </w:p>
    <w:p w14:paraId="27040475">
      <w:pPr>
        <w:spacing w:before="120" w:line="360" w:lineRule="auto"/>
        <w:rPr>
          <w:rFonts w:hint="eastAsia" w:ascii="宋体" w:hAnsi="宋体" w:cs="宋体"/>
          <w:b/>
          <w:bCs/>
          <w:sz w:val="24"/>
          <w:szCs w:val="24"/>
        </w:rPr>
      </w:pPr>
      <w:r>
        <w:rPr>
          <w:rFonts w:hint="eastAsia" w:ascii="宋体" w:hAnsi="宋体" w:cs="宋体"/>
          <w:b/>
          <w:bCs/>
          <w:sz w:val="24"/>
          <w:szCs w:val="24"/>
        </w:rPr>
        <w:t>27.对投标文件的初审</w:t>
      </w:r>
      <w:bookmarkEnd w:id="96"/>
      <w:bookmarkEnd w:id="97"/>
      <w:bookmarkEnd w:id="98"/>
    </w:p>
    <w:p w14:paraId="007AAFCC">
      <w:pPr>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投标文件初审分为资格审查和符合性审查。</w:t>
      </w:r>
    </w:p>
    <w:p w14:paraId="05584B7C">
      <w:pPr>
        <w:spacing w:line="360" w:lineRule="auto"/>
        <w:rPr>
          <w:rFonts w:hint="eastAsia" w:ascii="宋体" w:hAnsi="宋体"/>
          <w:bCs/>
          <w:sz w:val="24"/>
          <w:szCs w:val="24"/>
        </w:rPr>
      </w:pPr>
      <w:r>
        <w:rPr>
          <w:rFonts w:hint="eastAsia" w:ascii="宋体" w:hAnsi="宋体"/>
          <w:bCs/>
          <w:sz w:val="24"/>
          <w:szCs w:val="24"/>
        </w:rPr>
        <w:t>27.1.1资格审查：依据法律法规和招标文件的规定，由采购人对投标文件中的资格证明文件进行审查，</w:t>
      </w:r>
      <w:r>
        <w:rPr>
          <w:rFonts w:hint="eastAsia" w:ascii="宋体" w:hAnsi="宋体"/>
          <w:sz w:val="24"/>
        </w:rPr>
        <w:t>并</w:t>
      </w:r>
      <w:r>
        <w:rPr>
          <w:rFonts w:hint="eastAsia" w:ascii="宋体" w:hAnsi="宋体"/>
          <w:sz w:val="24"/>
          <w:lang w:val="zh-CN"/>
        </w:rPr>
        <w:t>向评委会反馈</w:t>
      </w:r>
      <w:r>
        <w:rPr>
          <w:rFonts w:hint="eastAsia" w:ascii="宋体" w:hAnsi="宋体"/>
          <w:sz w:val="24"/>
        </w:rPr>
        <w:t>审查结论</w:t>
      </w:r>
      <w:r>
        <w:rPr>
          <w:rFonts w:hint="eastAsia" w:ascii="宋体" w:hAnsi="宋体"/>
          <w:bCs/>
          <w:sz w:val="24"/>
          <w:szCs w:val="24"/>
        </w:rPr>
        <w:t>。</w:t>
      </w:r>
    </w:p>
    <w:p w14:paraId="06799B24">
      <w:pPr>
        <w:spacing w:line="360" w:lineRule="auto"/>
        <w:ind w:firstLine="480"/>
        <w:rPr>
          <w:rFonts w:hint="eastAsia" w:ascii="宋体" w:hAnsi="宋体"/>
          <w:sz w:val="24"/>
        </w:rPr>
      </w:pPr>
      <w:r>
        <w:rPr>
          <w:rFonts w:hint="eastAsia" w:ascii="宋体" w:hAnsi="宋体"/>
          <w:sz w:val="24"/>
          <w:lang w:val="zh-CN"/>
        </w:rPr>
        <w:t>采购人在进行资格性审查的同时</w:t>
      </w:r>
      <w:r>
        <w:rPr>
          <w:rFonts w:hint="eastAsia" w:ascii="宋体" w:hAnsi="宋体"/>
          <w:sz w:val="24"/>
        </w:rPr>
        <w:t>，</w:t>
      </w:r>
      <w:r>
        <w:rPr>
          <w:rFonts w:hint="eastAsia" w:ascii="宋体" w:hAnsi="宋体"/>
          <w:sz w:val="24"/>
          <w:lang w:val="zh-CN"/>
        </w:rPr>
        <w:t>将在</w:t>
      </w:r>
      <w:r>
        <w:rPr>
          <w:rFonts w:hint="eastAsia" w:ascii="宋体" w:hAnsi="宋体"/>
          <w:sz w:val="24"/>
        </w:rPr>
        <w:t>“</w:t>
      </w:r>
      <w:r>
        <w:rPr>
          <w:rFonts w:hint="eastAsia" w:ascii="宋体" w:hAnsi="宋体"/>
          <w:sz w:val="24"/>
          <w:lang w:val="zh-CN"/>
        </w:rPr>
        <w:t>信用中国</w:t>
      </w:r>
      <w:r>
        <w:rPr>
          <w:rFonts w:hint="eastAsia" w:ascii="宋体" w:hAnsi="宋体"/>
          <w:sz w:val="24"/>
        </w:rPr>
        <w:t>”</w:t>
      </w:r>
      <w:r>
        <w:rPr>
          <w:rFonts w:hint="eastAsia" w:ascii="宋体" w:hAnsi="宋体"/>
          <w:sz w:val="24"/>
          <w:lang w:val="zh-CN"/>
        </w:rPr>
        <w:t>网站</w:t>
      </w:r>
      <w:r>
        <w:rPr>
          <w:rFonts w:hint="eastAsia" w:ascii="宋体" w:hAnsi="宋体"/>
          <w:sz w:val="24"/>
        </w:rPr>
        <w:t>（www.creditchina.gov.cn）</w:t>
      </w:r>
      <w:r>
        <w:rPr>
          <w:rFonts w:hint="eastAsia" w:ascii="宋体" w:hAnsi="宋体"/>
          <w:sz w:val="24"/>
          <w:lang w:val="zh-CN"/>
        </w:rPr>
        <w:t>查询投标人的信用记录</w:t>
      </w:r>
      <w:r>
        <w:rPr>
          <w:rFonts w:hint="eastAsia" w:ascii="宋体" w:hAnsi="宋体"/>
          <w:sz w:val="24"/>
        </w:rPr>
        <w:t>，</w:t>
      </w:r>
      <w:r>
        <w:rPr>
          <w:rFonts w:hint="eastAsia" w:ascii="宋体" w:hAnsi="宋体"/>
          <w:sz w:val="24"/>
          <w:lang w:val="zh-CN"/>
        </w:rPr>
        <w:t>以确定投标人是否具备投标资格</w:t>
      </w:r>
      <w:r>
        <w:rPr>
          <w:rFonts w:hint="eastAsia" w:ascii="宋体" w:hAnsi="宋体"/>
          <w:sz w:val="24"/>
        </w:rPr>
        <w:t>,</w:t>
      </w:r>
      <w:r>
        <w:rPr>
          <w:rFonts w:hint="eastAsia" w:ascii="宋体" w:hAnsi="宋体"/>
          <w:sz w:val="24"/>
          <w:lang w:val="zh-CN"/>
        </w:rPr>
        <w:t>查询结果留存并归档。</w:t>
      </w:r>
    </w:p>
    <w:p w14:paraId="406D523F">
      <w:pPr>
        <w:spacing w:line="360" w:lineRule="auto"/>
        <w:ind w:firstLine="480"/>
        <w:rPr>
          <w:rFonts w:hint="eastAsia" w:ascii="宋体" w:hAnsi="宋体"/>
          <w:bCs/>
          <w:sz w:val="24"/>
          <w:szCs w:val="24"/>
        </w:rPr>
      </w:pPr>
      <w:r>
        <w:rPr>
          <w:rFonts w:hint="eastAsia" w:ascii="宋体" w:hAnsi="宋体"/>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A764DD0">
      <w:pPr>
        <w:spacing w:line="360" w:lineRule="auto"/>
        <w:rPr>
          <w:rFonts w:hint="eastAsia" w:ascii="宋体" w:hAnsi="宋体"/>
          <w:bCs/>
          <w:sz w:val="24"/>
          <w:szCs w:val="24"/>
        </w:rPr>
      </w:pPr>
      <w:r>
        <w:rPr>
          <w:rFonts w:hint="eastAsia" w:ascii="宋体" w:hAnsi="宋体"/>
          <w:bCs/>
          <w:sz w:val="24"/>
          <w:szCs w:val="24"/>
        </w:rPr>
        <w:t>27.1.2符合性审查：依据招标文件的规定，由评标委员会从投标文件的有效性、完整性和对招标文件的响应程度进行审查，以确定是否对招标文件的实质性要求作出响应。</w:t>
      </w:r>
    </w:p>
    <w:p w14:paraId="034CAE96">
      <w:pPr>
        <w:spacing w:line="360" w:lineRule="auto"/>
        <w:rPr>
          <w:rFonts w:hint="eastAsia" w:ascii="宋体" w:hAnsi="宋体"/>
          <w:bCs/>
          <w:sz w:val="24"/>
          <w:szCs w:val="24"/>
        </w:rPr>
      </w:pPr>
      <w:r>
        <w:rPr>
          <w:rFonts w:hint="eastAsia" w:ascii="宋体" w:hAnsi="宋体"/>
          <w:bCs/>
          <w:sz w:val="24"/>
          <w:szCs w:val="24"/>
        </w:rPr>
        <w:t>27.1.3未通过资格审查或符合性审查的投标人，采购代理机构将在</w:t>
      </w:r>
      <w:r>
        <w:rPr>
          <w:rFonts w:hint="eastAsia" w:ascii="宋体" w:hAnsi="宋体"/>
          <w:sz w:val="24"/>
          <w:szCs w:val="24"/>
        </w:rPr>
        <w:t>苏采云系统</w:t>
      </w:r>
      <w:r>
        <w:rPr>
          <w:rFonts w:hint="eastAsia" w:ascii="宋体" w:hAnsi="宋体"/>
          <w:bCs/>
          <w:sz w:val="24"/>
          <w:szCs w:val="24"/>
        </w:rPr>
        <w:t>中告知未通过资格审查或符合性审查的原因，评审结束后，采购代理机构将不再告知未通过资格审查或符合性审查的原因。</w:t>
      </w:r>
    </w:p>
    <w:p w14:paraId="29CB4FA4">
      <w:pPr>
        <w:spacing w:line="360" w:lineRule="auto"/>
        <w:rPr>
          <w:rFonts w:hint="eastAsia" w:ascii="宋体" w:hAnsi="宋体"/>
          <w:sz w:val="24"/>
          <w:szCs w:val="24"/>
        </w:rPr>
      </w:pPr>
      <w:r>
        <w:rPr>
          <w:rFonts w:hint="eastAsia" w:ascii="宋体" w:hAnsi="宋体"/>
          <w:sz w:val="24"/>
          <w:szCs w:val="24"/>
        </w:rPr>
        <w:t>27.2在详细评标之前，评标委员会将首先审查每份投标文件是否实质性响应了招标文件的要求。实质性响应的投标应该是与招标文件要求的全部条款、条件和规格相符，没有重大偏离或保留的投标。</w:t>
      </w:r>
    </w:p>
    <w:p w14:paraId="34B48388">
      <w:pPr>
        <w:spacing w:line="360" w:lineRule="auto"/>
        <w:ind w:firstLine="480"/>
        <w:rPr>
          <w:rFonts w:hint="eastAsia" w:ascii="宋体" w:hAnsi="宋体"/>
          <w:bCs/>
          <w:sz w:val="24"/>
          <w:szCs w:val="24"/>
        </w:rPr>
      </w:pPr>
      <w:r>
        <w:rPr>
          <w:rFonts w:hint="eastAsia" w:ascii="宋体" w:hAnsi="宋体"/>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评委决定投标文件的响应性只根据投标文件本身的内容，而不寻求外部的证据。</w:t>
      </w:r>
    </w:p>
    <w:p w14:paraId="3BE00016">
      <w:pPr>
        <w:spacing w:line="360" w:lineRule="auto"/>
        <w:rPr>
          <w:rFonts w:hint="eastAsia" w:ascii="宋体" w:hAnsi="宋体"/>
          <w:bCs/>
          <w:sz w:val="24"/>
          <w:szCs w:val="24"/>
        </w:rPr>
      </w:pPr>
      <w:r>
        <w:rPr>
          <w:rFonts w:hint="eastAsia" w:ascii="宋体" w:hAnsi="宋体"/>
          <w:sz w:val="24"/>
          <w:szCs w:val="24"/>
        </w:rPr>
        <w:t>27.3</w:t>
      </w:r>
      <w:r>
        <w:rPr>
          <w:rFonts w:hint="eastAsia" w:ascii="宋体" w:hAnsi="宋体"/>
          <w:bCs/>
          <w:sz w:val="24"/>
          <w:szCs w:val="24"/>
        </w:rPr>
        <w:t>如果投标文件实质上没有响应招标文件的要求，评委会将予以拒绝，投标人不得通过修改或撤销不合要求的偏离或保留而使其投标成为实质性响应的投标。</w:t>
      </w:r>
    </w:p>
    <w:p w14:paraId="168D6384">
      <w:pPr>
        <w:spacing w:line="360" w:lineRule="auto"/>
        <w:rPr>
          <w:rFonts w:hint="eastAsia" w:ascii="宋体" w:hAnsi="宋体"/>
          <w:bCs/>
          <w:sz w:val="24"/>
          <w:szCs w:val="24"/>
        </w:rPr>
      </w:pPr>
      <w:r>
        <w:rPr>
          <w:rFonts w:hint="eastAsia" w:ascii="宋体" w:hAnsi="宋体"/>
          <w:sz w:val="24"/>
          <w:szCs w:val="24"/>
        </w:rPr>
        <w:t>27.4</w:t>
      </w:r>
      <w:r>
        <w:rPr>
          <w:rFonts w:hint="eastAsia" w:ascii="宋体" w:hAnsi="宋体"/>
          <w:bCs/>
          <w:sz w:val="24"/>
          <w:szCs w:val="24"/>
        </w:rPr>
        <w:t>评标委员会将对确定为实质性响应的投标进行进一步审核，看其是否有计算上或累加上的算术错误，修正错误的原则如下：</w:t>
      </w:r>
    </w:p>
    <w:p w14:paraId="12F68507">
      <w:pPr>
        <w:spacing w:line="360" w:lineRule="auto"/>
        <w:rPr>
          <w:rFonts w:hint="eastAsia" w:ascii="宋体" w:hAnsi="宋体"/>
          <w:bCs/>
          <w:sz w:val="24"/>
          <w:szCs w:val="24"/>
        </w:rPr>
      </w:pPr>
      <w:r>
        <w:rPr>
          <w:rFonts w:hint="eastAsia" w:ascii="宋体" w:hAnsi="宋体"/>
          <w:bCs/>
          <w:sz w:val="24"/>
          <w:szCs w:val="24"/>
        </w:rPr>
        <w:t>（1）投标文件中开标一览表内容与投标文件中相应内容不一致的，以开标一览表为准。</w:t>
      </w:r>
    </w:p>
    <w:p w14:paraId="601E321C">
      <w:pPr>
        <w:spacing w:line="360" w:lineRule="auto"/>
        <w:rPr>
          <w:rFonts w:hint="eastAsia" w:ascii="宋体" w:hAnsi="宋体"/>
          <w:bCs/>
          <w:sz w:val="24"/>
          <w:szCs w:val="24"/>
        </w:rPr>
      </w:pPr>
      <w:r>
        <w:rPr>
          <w:rFonts w:hint="eastAsia" w:ascii="宋体" w:hAnsi="宋体"/>
          <w:bCs/>
          <w:sz w:val="24"/>
          <w:szCs w:val="24"/>
        </w:rPr>
        <w:t>（2）大写金额和小写金额不一致的，以大写金额为准。</w:t>
      </w:r>
    </w:p>
    <w:p w14:paraId="7D854031">
      <w:pPr>
        <w:spacing w:line="360" w:lineRule="auto"/>
        <w:rPr>
          <w:rFonts w:hint="eastAsia" w:ascii="宋体" w:hAnsi="宋体"/>
          <w:bCs/>
          <w:sz w:val="24"/>
          <w:szCs w:val="24"/>
        </w:rPr>
      </w:pPr>
      <w:r>
        <w:rPr>
          <w:rFonts w:hint="eastAsia" w:ascii="宋体" w:hAnsi="宋体"/>
          <w:bCs/>
          <w:sz w:val="24"/>
          <w:szCs w:val="24"/>
        </w:rPr>
        <w:t>（3）单价金额小数点或者百分比有明显错位的，以开标一览表的总价为准，并修改单价。</w:t>
      </w:r>
    </w:p>
    <w:p w14:paraId="37976F56">
      <w:pPr>
        <w:spacing w:line="360" w:lineRule="auto"/>
        <w:rPr>
          <w:rFonts w:hint="eastAsia" w:ascii="宋体" w:hAnsi="宋体"/>
          <w:bCs/>
          <w:sz w:val="24"/>
          <w:szCs w:val="24"/>
        </w:rPr>
      </w:pPr>
      <w:r>
        <w:rPr>
          <w:rFonts w:hint="eastAsia" w:ascii="宋体" w:hAnsi="宋体"/>
          <w:bCs/>
          <w:sz w:val="24"/>
          <w:szCs w:val="24"/>
        </w:rPr>
        <w:t>（4）总价金额与按单价汇总金额不一致的，以单价金额计算结果为准。</w:t>
      </w:r>
    </w:p>
    <w:p w14:paraId="6ECF7B6F">
      <w:pPr>
        <w:spacing w:line="360" w:lineRule="auto"/>
        <w:rPr>
          <w:rFonts w:hint="eastAsia" w:ascii="宋体" w:hAnsi="宋体"/>
          <w:bCs/>
          <w:sz w:val="24"/>
          <w:szCs w:val="24"/>
        </w:rPr>
      </w:pPr>
      <w:r>
        <w:rPr>
          <w:rFonts w:hint="eastAsia" w:ascii="宋体" w:hAnsi="宋体"/>
          <w:bCs/>
          <w:sz w:val="24"/>
          <w:szCs w:val="24"/>
        </w:rPr>
        <w:t>同时出现两种以上错误的，按照前款规定的顺序修正。</w:t>
      </w:r>
    </w:p>
    <w:p w14:paraId="14D9AE51">
      <w:pPr>
        <w:spacing w:line="360" w:lineRule="auto"/>
        <w:rPr>
          <w:rFonts w:hint="eastAsia" w:ascii="宋体" w:hAnsi="宋体"/>
          <w:bCs/>
          <w:sz w:val="24"/>
          <w:szCs w:val="24"/>
        </w:rPr>
      </w:pPr>
      <w:r>
        <w:rPr>
          <w:rFonts w:hint="eastAsia" w:ascii="宋体" w:hAnsi="宋体"/>
          <w:sz w:val="24"/>
          <w:szCs w:val="24"/>
        </w:rPr>
        <w:t>27.5</w:t>
      </w:r>
      <w:r>
        <w:rPr>
          <w:rFonts w:hint="eastAsia" w:ascii="宋体" w:hAnsi="宋体"/>
          <w:bCs/>
          <w:sz w:val="24"/>
          <w:szCs w:val="24"/>
        </w:rPr>
        <w:t>评委会将按上述修正错误的方法调整投标文件中的投标报价，并</w:t>
      </w:r>
      <w:r>
        <w:rPr>
          <w:rFonts w:ascii="宋体" w:hAnsi="宋体"/>
          <w:bCs/>
          <w:sz w:val="24"/>
          <w:szCs w:val="24"/>
        </w:rPr>
        <w:t>通过</w:t>
      </w:r>
      <w:r>
        <w:rPr>
          <w:rFonts w:hint="eastAsia" w:ascii="宋体" w:hAnsi="宋体"/>
          <w:sz w:val="24"/>
          <w:szCs w:val="24"/>
        </w:rPr>
        <w:t>苏</w:t>
      </w:r>
      <w:r>
        <w:rPr>
          <w:rFonts w:hint="eastAsia" w:ascii="宋体" w:hAnsi="宋体"/>
          <w:bCs/>
          <w:sz w:val="24"/>
          <w:szCs w:val="24"/>
        </w:rPr>
        <w:t>采云系统告知</w:t>
      </w:r>
      <w:r>
        <w:rPr>
          <w:rFonts w:ascii="宋体" w:hAnsi="宋体"/>
          <w:bCs/>
          <w:sz w:val="24"/>
          <w:szCs w:val="24"/>
        </w:rPr>
        <w:t>投标人，</w:t>
      </w:r>
      <w:r>
        <w:rPr>
          <w:rFonts w:hint="eastAsia" w:ascii="宋体" w:hAnsi="宋体"/>
          <w:bCs/>
          <w:sz w:val="24"/>
          <w:szCs w:val="24"/>
        </w:rPr>
        <w:t>调整后的价格应对投标人具有约束力。如果投标人不接受修正后的价格，则其投标将被拒绝。</w:t>
      </w:r>
    </w:p>
    <w:p w14:paraId="4523961A">
      <w:pPr>
        <w:spacing w:line="360" w:lineRule="auto"/>
        <w:rPr>
          <w:rFonts w:hint="eastAsia" w:ascii="宋体" w:hAnsi="宋体"/>
          <w:sz w:val="24"/>
          <w:szCs w:val="24"/>
        </w:rPr>
      </w:pPr>
      <w:bookmarkStart w:id="99" w:name="_Toc513029234"/>
      <w:bookmarkStart w:id="100" w:name="_Toc20823306"/>
      <w:bookmarkStart w:id="101" w:name="_Toc16938550"/>
      <w:r>
        <w:rPr>
          <w:rFonts w:hint="eastAsia" w:ascii="宋体" w:hAnsi="宋体"/>
          <w:sz w:val="24"/>
          <w:szCs w:val="24"/>
        </w:rPr>
        <w:t>27.6</w:t>
      </w:r>
      <w:r>
        <w:rPr>
          <w:rFonts w:ascii="宋体" w:hAnsi="宋体"/>
          <w:sz w:val="24"/>
          <w:szCs w:val="24"/>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按照招标文件规定的方式（招标文件未规定的通过</w:t>
      </w:r>
      <w:r>
        <w:rPr>
          <w:rFonts w:ascii="宋体" w:hAnsi="宋体"/>
          <w:sz w:val="24"/>
          <w:szCs w:val="24"/>
        </w:rPr>
        <w:t>随机抽取</w:t>
      </w:r>
      <w:r>
        <w:rPr>
          <w:rFonts w:hint="eastAsia" w:ascii="宋体" w:hAnsi="宋体"/>
          <w:sz w:val="24"/>
          <w:szCs w:val="24"/>
        </w:rPr>
        <w:t>的</w:t>
      </w:r>
      <w:r>
        <w:rPr>
          <w:rFonts w:ascii="宋体" w:hAnsi="宋体"/>
          <w:sz w:val="24"/>
          <w:szCs w:val="24"/>
        </w:rPr>
        <w:t>方式</w:t>
      </w:r>
      <w:r>
        <w:rPr>
          <w:rFonts w:hint="eastAsia" w:ascii="宋体" w:hAnsi="宋体"/>
          <w:sz w:val="24"/>
          <w:szCs w:val="24"/>
        </w:rPr>
        <w:t>）</w:t>
      </w:r>
      <w:r>
        <w:rPr>
          <w:rFonts w:ascii="宋体" w:hAnsi="宋体"/>
          <w:sz w:val="24"/>
          <w:szCs w:val="24"/>
        </w:rPr>
        <w:t>确定一个参加评标的投标人，其他投标无效。</w:t>
      </w:r>
    </w:p>
    <w:p w14:paraId="6E93310F">
      <w:pPr>
        <w:spacing w:line="360" w:lineRule="auto"/>
        <w:ind w:firstLine="480"/>
        <w:rPr>
          <w:rFonts w:hint="eastAsia" w:ascii="宋体" w:hAnsi="宋体"/>
          <w:sz w:val="24"/>
          <w:szCs w:val="24"/>
        </w:rPr>
      </w:pPr>
      <w:r>
        <w:rPr>
          <w:rFonts w:ascii="宋体" w:hAnsi="宋体"/>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根据招标文件规定的方式（招标文件未规定的采取随机抽取的方式）</w:t>
      </w:r>
      <w:r>
        <w:rPr>
          <w:rFonts w:ascii="宋体" w:hAnsi="宋体"/>
          <w:sz w:val="24"/>
          <w:szCs w:val="24"/>
        </w:rPr>
        <w:t>确定</w:t>
      </w:r>
      <w:r>
        <w:rPr>
          <w:rFonts w:hint="eastAsia" w:ascii="宋体" w:hAnsi="宋体"/>
          <w:sz w:val="24"/>
          <w:szCs w:val="24"/>
        </w:rPr>
        <w:t>一个中标候选人</w:t>
      </w:r>
      <w:r>
        <w:rPr>
          <w:rFonts w:ascii="宋体" w:hAnsi="宋体"/>
          <w:sz w:val="24"/>
          <w:szCs w:val="24"/>
        </w:rPr>
        <w:t>，其他同品牌投标人不作为中标候选人。</w:t>
      </w:r>
    </w:p>
    <w:p w14:paraId="38B1DD3D">
      <w:pPr>
        <w:spacing w:line="360" w:lineRule="auto"/>
        <w:ind w:firstLine="480"/>
        <w:rPr>
          <w:rFonts w:hint="eastAsia" w:ascii="宋体" w:hAnsi="宋体"/>
          <w:sz w:val="24"/>
          <w:szCs w:val="24"/>
        </w:rPr>
      </w:pPr>
      <w:r>
        <w:rPr>
          <w:rFonts w:ascii="宋体" w:hAnsi="宋体"/>
          <w:sz w:val="24"/>
          <w:szCs w:val="24"/>
        </w:rPr>
        <w:t>非单一产品采购项目，招标文件中</w:t>
      </w:r>
      <w:r>
        <w:rPr>
          <w:rFonts w:hint="eastAsia" w:ascii="宋体" w:hAnsi="宋体"/>
          <w:sz w:val="24"/>
          <w:szCs w:val="24"/>
        </w:rPr>
        <w:t>将载明其中的核心产品</w:t>
      </w:r>
      <w:r>
        <w:rPr>
          <w:rFonts w:ascii="宋体" w:hAnsi="宋体"/>
          <w:sz w:val="24"/>
          <w:szCs w:val="24"/>
        </w:rPr>
        <w:t>。多家投标人提供的核心产品品牌相同的，按前两款规定处理。</w:t>
      </w:r>
    </w:p>
    <w:p w14:paraId="1F502C8D">
      <w:pPr>
        <w:spacing w:line="360" w:lineRule="auto"/>
        <w:rPr>
          <w:rFonts w:hint="eastAsia" w:ascii="宋体" w:hAnsi="宋体"/>
          <w:sz w:val="24"/>
          <w:szCs w:val="24"/>
        </w:rPr>
      </w:pPr>
      <w:r>
        <w:rPr>
          <w:rFonts w:hint="eastAsia" w:ascii="宋体" w:hAnsi="宋体"/>
          <w:sz w:val="24"/>
          <w:szCs w:val="24"/>
        </w:rPr>
        <w:t>27.7投标人在开、评标全过程中应保持通讯畅通，及时登录苏采云系统查阅</w:t>
      </w:r>
      <w:r>
        <w:rPr>
          <w:rFonts w:ascii="宋体" w:hAnsi="宋体"/>
          <w:sz w:val="24"/>
          <w:szCs w:val="24"/>
        </w:rPr>
        <w:t>、答复相关</w:t>
      </w:r>
      <w:r>
        <w:rPr>
          <w:rFonts w:hint="eastAsia" w:ascii="宋体" w:hAnsi="宋体"/>
          <w:sz w:val="24"/>
          <w:szCs w:val="24"/>
        </w:rPr>
        <w:t>信息</w:t>
      </w:r>
      <w:r>
        <w:rPr>
          <w:rFonts w:ascii="宋体" w:hAnsi="宋体"/>
          <w:sz w:val="24"/>
          <w:szCs w:val="24"/>
        </w:rPr>
        <w:t>，</w:t>
      </w:r>
      <w:r>
        <w:rPr>
          <w:rFonts w:hint="eastAsia" w:ascii="宋体" w:hAnsi="宋体"/>
          <w:sz w:val="24"/>
          <w:szCs w:val="24"/>
        </w:rPr>
        <w:t>并安排专人与采购代理机构及评标委员会联系。</w:t>
      </w:r>
    </w:p>
    <w:p w14:paraId="3EBEAD62">
      <w:pPr>
        <w:spacing w:before="120" w:line="360" w:lineRule="auto"/>
        <w:rPr>
          <w:rFonts w:hint="eastAsia" w:ascii="宋体" w:hAnsi="宋体" w:cs="宋体"/>
          <w:b/>
          <w:bCs/>
          <w:sz w:val="24"/>
          <w:szCs w:val="24"/>
        </w:rPr>
      </w:pPr>
      <w:r>
        <w:rPr>
          <w:rFonts w:hint="eastAsia" w:ascii="宋体" w:hAnsi="宋体" w:cs="宋体"/>
          <w:b/>
          <w:bCs/>
          <w:sz w:val="24"/>
          <w:szCs w:val="24"/>
        </w:rPr>
        <w:t>28</w:t>
      </w:r>
      <w:bookmarkEnd w:id="99"/>
      <w:bookmarkEnd w:id="100"/>
      <w:bookmarkEnd w:id="101"/>
      <w:r>
        <w:rPr>
          <w:rFonts w:hint="eastAsia" w:ascii="宋体" w:hAnsi="宋体" w:cs="宋体"/>
          <w:b/>
          <w:bCs/>
          <w:sz w:val="24"/>
          <w:szCs w:val="24"/>
        </w:rPr>
        <w:t>．无效投标条款和废标条款</w:t>
      </w:r>
    </w:p>
    <w:p w14:paraId="402854E4">
      <w:pPr>
        <w:spacing w:line="360" w:lineRule="auto"/>
        <w:rPr>
          <w:rFonts w:hint="eastAsia" w:ascii="宋体" w:hAnsi="宋体"/>
          <w:bCs/>
          <w:sz w:val="24"/>
          <w:szCs w:val="24"/>
        </w:rPr>
      </w:pPr>
      <w:r>
        <w:rPr>
          <w:rFonts w:hint="eastAsia" w:ascii="宋体" w:hAnsi="宋体"/>
          <w:bCs/>
          <w:sz w:val="24"/>
          <w:szCs w:val="24"/>
        </w:rPr>
        <w:t>28.1 无效投标条款</w:t>
      </w:r>
    </w:p>
    <w:p w14:paraId="7869DBBC">
      <w:pPr>
        <w:spacing w:line="360" w:lineRule="auto"/>
        <w:rPr>
          <w:rFonts w:hint="eastAsia" w:ascii="宋体" w:hAnsi="宋体"/>
          <w:bCs/>
          <w:sz w:val="24"/>
          <w:szCs w:val="24"/>
        </w:rPr>
      </w:pPr>
      <w:r>
        <w:rPr>
          <w:rFonts w:hint="eastAsia" w:ascii="宋体" w:hAnsi="宋体"/>
          <w:bCs/>
          <w:sz w:val="24"/>
          <w:szCs w:val="24"/>
        </w:rPr>
        <w:t>28.1.1 投标人在苏采云系统规定的时间内未成功解密电子投标文件的。</w:t>
      </w:r>
    </w:p>
    <w:p w14:paraId="341F9964">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2</w:t>
      </w:r>
      <w:r>
        <w:rPr>
          <w:rFonts w:hint="eastAsia" w:ascii="宋体" w:hAnsi="宋体"/>
          <w:bCs/>
          <w:sz w:val="24"/>
          <w:szCs w:val="24"/>
        </w:rPr>
        <w:t xml:space="preserve"> 投标人未按照招标文件要求上传电子投标文件的。</w:t>
      </w:r>
    </w:p>
    <w:p w14:paraId="5DF9ABB9">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3</w:t>
      </w:r>
      <w:r>
        <w:rPr>
          <w:rFonts w:hint="eastAsia" w:ascii="宋体" w:hAnsi="宋体"/>
          <w:bCs/>
          <w:sz w:val="24"/>
          <w:szCs w:val="24"/>
        </w:rPr>
        <w:t xml:space="preserve"> 同一投标人提交两个</w:t>
      </w:r>
      <w:r>
        <w:rPr>
          <w:rFonts w:ascii="宋体" w:hAnsi="宋体"/>
          <w:bCs/>
          <w:sz w:val="24"/>
          <w:szCs w:val="24"/>
        </w:rPr>
        <w:t>（</w:t>
      </w:r>
      <w:r>
        <w:rPr>
          <w:rFonts w:hint="eastAsia" w:ascii="宋体" w:hAnsi="宋体"/>
          <w:bCs/>
          <w:sz w:val="24"/>
          <w:szCs w:val="24"/>
        </w:rPr>
        <w:t>含</w:t>
      </w:r>
      <w:r>
        <w:rPr>
          <w:rFonts w:ascii="宋体" w:hAnsi="宋体"/>
          <w:bCs/>
          <w:sz w:val="24"/>
          <w:szCs w:val="24"/>
        </w:rPr>
        <w:t>两个）</w:t>
      </w:r>
      <w:r>
        <w:rPr>
          <w:rFonts w:hint="eastAsia" w:ascii="宋体" w:hAnsi="宋体"/>
          <w:bCs/>
          <w:sz w:val="24"/>
          <w:szCs w:val="24"/>
        </w:rPr>
        <w:t>以上不同的</w:t>
      </w:r>
      <w:r>
        <w:rPr>
          <w:rFonts w:ascii="宋体" w:hAnsi="宋体"/>
          <w:bCs/>
          <w:sz w:val="24"/>
          <w:szCs w:val="24"/>
        </w:rPr>
        <w:t>投标报价的。</w:t>
      </w:r>
    </w:p>
    <w:p w14:paraId="63F7FF49">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4</w:t>
      </w:r>
      <w:r>
        <w:rPr>
          <w:rFonts w:hint="eastAsia" w:ascii="宋体" w:hAnsi="宋体"/>
          <w:bCs/>
          <w:sz w:val="24"/>
          <w:szCs w:val="24"/>
        </w:rPr>
        <w:t xml:space="preserve"> 投标人不具备招标文件中规定资格要求的。</w:t>
      </w:r>
    </w:p>
    <w:p w14:paraId="20EF626B">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5</w:t>
      </w:r>
      <w:r>
        <w:rPr>
          <w:rFonts w:hint="eastAsia" w:ascii="宋体" w:hAnsi="宋体"/>
          <w:bCs/>
          <w:sz w:val="24"/>
          <w:szCs w:val="24"/>
        </w:rPr>
        <w:t xml:space="preserve"> 投标人的报价超过了采购预算或最高限价的。</w:t>
      </w:r>
    </w:p>
    <w:p w14:paraId="0A7536DE">
      <w:pPr>
        <w:spacing w:line="360" w:lineRule="auto"/>
        <w:rPr>
          <w:rFonts w:hint="eastAsia" w:ascii="宋体" w:hAnsi="宋体"/>
          <w:bCs/>
          <w:i/>
          <w:sz w:val="24"/>
          <w:szCs w:val="24"/>
          <w:u w:val="single"/>
        </w:rPr>
      </w:pPr>
      <w:r>
        <w:rPr>
          <w:rFonts w:hint="eastAsia" w:ascii="宋体" w:hAnsi="宋体"/>
          <w:bCs/>
          <w:sz w:val="24"/>
          <w:szCs w:val="24"/>
        </w:rPr>
        <w:t>28.1.</w:t>
      </w:r>
      <w:r>
        <w:rPr>
          <w:rFonts w:ascii="宋体" w:hAnsi="宋体"/>
          <w:bCs/>
          <w:sz w:val="24"/>
          <w:szCs w:val="24"/>
        </w:rPr>
        <w:t>6</w:t>
      </w:r>
      <w:r>
        <w:rPr>
          <w:rFonts w:hint="eastAsia" w:ascii="宋体" w:hAnsi="宋体"/>
          <w:bCs/>
          <w:sz w:val="24"/>
          <w:szCs w:val="24"/>
        </w:rPr>
        <w:t xml:space="preserve"> 未通过符合性审查的。</w:t>
      </w:r>
    </w:p>
    <w:p w14:paraId="4D57C0F2">
      <w:pPr>
        <w:spacing w:line="360" w:lineRule="auto"/>
        <w:rPr>
          <w:rFonts w:hint="eastAsia" w:ascii="宋体" w:hAnsi="宋体"/>
          <w:bCs/>
          <w:i/>
          <w:sz w:val="24"/>
          <w:szCs w:val="24"/>
          <w:u w:val="single"/>
        </w:rPr>
      </w:pPr>
      <w:r>
        <w:rPr>
          <w:rFonts w:hint="eastAsia" w:ascii="宋体" w:hAnsi="宋体"/>
          <w:bCs/>
          <w:sz w:val="24"/>
          <w:szCs w:val="24"/>
        </w:rPr>
        <w:t>28.1.</w:t>
      </w:r>
      <w:r>
        <w:rPr>
          <w:rFonts w:ascii="宋体" w:hAnsi="宋体"/>
          <w:bCs/>
          <w:sz w:val="24"/>
          <w:szCs w:val="24"/>
        </w:rPr>
        <w:t>7</w:t>
      </w:r>
      <w:r>
        <w:rPr>
          <w:rFonts w:hint="eastAsia" w:ascii="宋体" w:hAnsi="宋体"/>
          <w:bCs/>
          <w:sz w:val="24"/>
          <w:szCs w:val="24"/>
        </w:rPr>
        <w:t>不符合招标文件中规定的实质性要求和条件的（本招标文件中斜体且有下划线部分为实质性要求和条件）。</w:t>
      </w:r>
    </w:p>
    <w:p w14:paraId="0F1C2E15">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8</w:t>
      </w:r>
      <w:r>
        <w:rPr>
          <w:rFonts w:hint="eastAsia" w:ascii="宋体" w:hAnsi="宋体"/>
          <w:bCs/>
          <w:sz w:val="24"/>
          <w:szCs w:val="24"/>
        </w:rPr>
        <w:t>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p>
    <w:p w14:paraId="2548B3C8">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9</w:t>
      </w:r>
      <w:r>
        <w:rPr>
          <w:rFonts w:hint="eastAsia" w:ascii="宋体" w:hAnsi="宋体"/>
          <w:bCs/>
          <w:sz w:val="24"/>
          <w:szCs w:val="24"/>
        </w:rPr>
        <w:t xml:space="preserve"> 投标文件含有采购人不能接受的附加条件的。</w:t>
      </w:r>
    </w:p>
    <w:p w14:paraId="59B3DFAD">
      <w:pPr>
        <w:spacing w:line="360" w:lineRule="auto"/>
        <w:rPr>
          <w:rFonts w:hint="eastAsia" w:ascii="宋体" w:hAnsi="宋体"/>
          <w:bCs/>
          <w:sz w:val="24"/>
          <w:szCs w:val="24"/>
        </w:rPr>
      </w:pPr>
      <w:r>
        <w:rPr>
          <w:rFonts w:hint="eastAsia" w:ascii="宋体" w:hAnsi="宋体"/>
          <w:bCs/>
          <w:sz w:val="24"/>
          <w:szCs w:val="24"/>
        </w:rPr>
        <w:t>28.1.</w:t>
      </w:r>
      <w:r>
        <w:rPr>
          <w:rFonts w:ascii="宋体" w:hAnsi="宋体"/>
          <w:bCs/>
          <w:sz w:val="24"/>
          <w:szCs w:val="24"/>
        </w:rPr>
        <w:t>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8E9D42F">
      <w:pPr>
        <w:spacing w:line="360" w:lineRule="auto"/>
        <w:rPr>
          <w:rFonts w:hint="eastAsia" w:ascii="宋体" w:hAnsi="宋体"/>
          <w:bCs/>
          <w:sz w:val="24"/>
          <w:szCs w:val="24"/>
        </w:rPr>
      </w:pPr>
      <w:r>
        <w:rPr>
          <w:rFonts w:hint="eastAsia" w:ascii="宋体" w:hAnsi="宋体"/>
          <w:bCs/>
          <w:sz w:val="24"/>
          <w:szCs w:val="24"/>
        </w:rPr>
        <w:t>28.1.1</w:t>
      </w:r>
      <w:r>
        <w:rPr>
          <w:rFonts w:ascii="宋体" w:hAnsi="宋体"/>
          <w:bCs/>
          <w:sz w:val="24"/>
          <w:szCs w:val="24"/>
        </w:rPr>
        <w:t>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9BB38A6">
      <w:pPr>
        <w:spacing w:line="360" w:lineRule="auto"/>
        <w:rPr>
          <w:rFonts w:hint="eastAsia" w:ascii="宋体" w:hAnsi="宋体"/>
          <w:bCs/>
          <w:sz w:val="24"/>
          <w:szCs w:val="24"/>
        </w:rPr>
      </w:pPr>
      <w:r>
        <w:rPr>
          <w:rFonts w:hint="eastAsia" w:ascii="宋体" w:hAnsi="宋体"/>
          <w:bCs/>
          <w:sz w:val="24"/>
          <w:szCs w:val="24"/>
        </w:rPr>
        <w:t>28.1.1</w:t>
      </w:r>
      <w:r>
        <w:rPr>
          <w:rFonts w:ascii="宋体" w:hAnsi="宋体"/>
          <w:bCs/>
          <w:sz w:val="24"/>
          <w:szCs w:val="24"/>
        </w:rPr>
        <w:t>2</w:t>
      </w:r>
      <w:r>
        <w:rPr>
          <w:rFonts w:hint="eastAsia" w:ascii="宋体" w:hAnsi="宋体"/>
          <w:bCs/>
          <w:sz w:val="24"/>
          <w:szCs w:val="24"/>
        </w:rPr>
        <w:t xml:space="preserve"> 投标文件未按照招标文件要求加盖CA电子公章的。</w:t>
      </w:r>
    </w:p>
    <w:p w14:paraId="3B6D082C">
      <w:pPr>
        <w:spacing w:line="360" w:lineRule="auto"/>
        <w:rPr>
          <w:rFonts w:hint="eastAsia" w:ascii="宋体" w:hAnsi="宋体"/>
          <w:bCs/>
          <w:sz w:val="24"/>
          <w:szCs w:val="24"/>
        </w:rPr>
      </w:pPr>
      <w:r>
        <w:rPr>
          <w:rFonts w:hint="eastAsia" w:ascii="宋体" w:hAnsi="宋体"/>
          <w:bCs/>
          <w:sz w:val="24"/>
          <w:szCs w:val="24"/>
        </w:rPr>
        <w:t>28.1.1</w:t>
      </w:r>
      <w:r>
        <w:rPr>
          <w:rFonts w:ascii="宋体" w:hAnsi="宋体"/>
          <w:bCs/>
          <w:sz w:val="24"/>
          <w:szCs w:val="24"/>
        </w:rPr>
        <w:t>3</w:t>
      </w:r>
      <w:r>
        <w:rPr>
          <w:rFonts w:hint="eastAsia" w:ascii="宋体" w:hAnsi="宋体"/>
          <w:bCs/>
          <w:sz w:val="24"/>
          <w:szCs w:val="24"/>
        </w:rPr>
        <w:t xml:space="preserve"> 其他法律、法规及本招标文件规定的属无效投标的情形。</w:t>
      </w:r>
    </w:p>
    <w:p w14:paraId="20E0EF78">
      <w:pPr>
        <w:spacing w:line="360" w:lineRule="auto"/>
        <w:rPr>
          <w:rFonts w:hint="eastAsia" w:ascii="宋体" w:hAnsi="宋体"/>
          <w:bCs/>
          <w:sz w:val="24"/>
          <w:szCs w:val="24"/>
        </w:rPr>
      </w:pPr>
      <w:r>
        <w:rPr>
          <w:rFonts w:hint="eastAsia" w:ascii="宋体" w:hAnsi="宋体"/>
          <w:bCs/>
          <w:sz w:val="24"/>
          <w:szCs w:val="24"/>
        </w:rPr>
        <w:t>28.2 废标条款</w:t>
      </w:r>
    </w:p>
    <w:p w14:paraId="2B870F8D">
      <w:pPr>
        <w:spacing w:line="360" w:lineRule="auto"/>
        <w:rPr>
          <w:rFonts w:hint="eastAsia" w:ascii="宋体" w:hAnsi="宋体"/>
          <w:bCs/>
          <w:sz w:val="24"/>
          <w:szCs w:val="24"/>
        </w:rPr>
      </w:pPr>
      <w:r>
        <w:rPr>
          <w:rFonts w:hint="eastAsia" w:ascii="宋体" w:hAnsi="宋体"/>
          <w:bCs/>
          <w:sz w:val="24"/>
          <w:szCs w:val="24"/>
        </w:rPr>
        <w:t>28.2.1 符合专业条件的供应商或者对招标文件作实质响应的供应商不足三家的。</w:t>
      </w:r>
    </w:p>
    <w:p w14:paraId="7E4565A6">
      <w:pPr>
        <w:spacing w:line="360" w:lineRule="auto"/>
        <w:rPr>
          <w:rFonts w:hint="eastAsia" w:ascii="宋体" w:hAnsi="宋体"/>
          <w:bCs/>
          <w:sz w:val="24"/>
          <w:szCs w:val="24"/>
        </w:rPr>
      </w:pPr>
      <w:r>
        <w:rPr>
          <w:rFonts w:hint="eastAsia" w:ascii="宋体" w:hAnsi="宋体"/>
          <w:bCs/>
          <w:sz w:val="24"/>
          <w:szCs w:val="24"/>
        </w:rPr>
        <w:t>28.2.2出现影响采购公正的违法、违规行为的。</w:t>
      </w:r>
    </w:p>
    <w:p w14:paraId="61F8F736">
      <w:pPr>
        <w:spacing w:line="360" w:lineRule="auto"/>
        <w:rPr>
          <w:rFonts w:hint="eastAsia" w:ascii="宋体" w:hAnsi="宋体"/>
          <w:bCs/>
          <w:sz w:val="24"/>
          <w:szCs w:val="24"/>
        </w:rPr>
      </w:pPr>
      <w:r>
        <w:rPr>
          <w:rFonts w:hint="eastAsia" w:ascii="宋体" w:hAnsi="宋体"/>
          <w:bCs/>
          <w:sz w:val="24"/>
          <w:szCs w:val="24"/>
        </w:rPr>
        <w:t>28.2.3 因重大变故，采购任务取消的。</w:t>
      </w:r>
    </w:p>
    <w:p w14:paraId="7B07E2AB">
      <w:pPr>
        <w:spacing w:line="360" w:lineRule="auto"/>
        <w:rPr>
          <w:rFonts w:hint="eastAsia" w:ascii="宋体" w:hAnsi="宋体"/>
          <w:bCs/>
          <w:sz w:val="24"/>
          <w:szCs w:val="24"/>
        </w:rPr>
      </w:pPr>
      <w:r>
        <w:rPr>
          <w:rFonts w:hint="eastAsia" w:ascii="宋体" w:hAnsi="宋体"/>
          <w:bCs/>
          <w:sz w:val="24"/>
          <w:szCs w:val="24"/>
        </w:rPr>
        <w:t>28.2.4 评标委员会认定招标文件存在歧义、重大缺陷导致评审工作无法进行。</w:t>
      </w:r>
    </w:p>
    <w:p w14:paraId="31D3A243">
      <w:pPr>
        <w:spacing w:line="360" w:lineRule="auto"/>
        <w:rPr>
          <w:rFonts w:hint="eastAsia" w:ascii="宋体" w:hAnsi="宋体"/>
          <w:bCs/>
          <w:sz w:val="24"/>
          <w:szCs w:val="24"/>
        </w:rPr>
      </w:pPr>
      <w:r>
        <w:rPr>
          <w:rFonts w:hint="eastAsia" w:ascii="宋体" w:hAnsi="宋体"/>
          <w:bCs/>
          <w:sz w:val="24"/>
          <w:szCs w:val="24"/>
        </w:rPr>
        <w:t>28.2.5 因苏采云系统</w:t>
      </w:r>
      <w:r>
        <w:rPr>
          <w:rFonts w:ascii="宋体" w:hAnsi="宋体"/>
          <w:bCs/>
          <w:sz w:val="24"/>
          <w:szCs w:val="24"/>
        </w:rPr>
        <w:t>系统故障原因造成开标不成功</w:t>
      </w:r>
      <w:r>
        <w:rPr>
          <w:rFonts w:hint="eastAsia" w:ascii="宋体" w:hAnsi="宋体"/>
          <w:bCs/>
          <w:sz w:val="24"/>
          <w:szCs w:val="24"/>
        </w:rPr>
        <w:t>的</w:t>
      </w:r>
      <w:r>
        <w:rPr>
          <w:rFonts w:ascii="宋体" w:hAnsi="宋体"/>
          <w:bCs/>
          <w:sz w:val="24"/>
          <w:szCs w:val="24"/>
        </w:rPr>
        <w:t>。</w:t>
      </w:r>
    </w:p>
    <w:p w14:paraId="659A12B5">
      <w:pPr>
        <w:spacing w:line="360" w:lineRule="auto"/>
        <w:rPr>
          <w:rFonts w:hint="eastAsia" w:ascii="宋体" w:hAnsi="宋体"/>
          <w:bCs/>
          <w:sz w:val="24"/>
          <w:szCs w:val="24"/>
        </w:rPr>
      </w:pPr>
      <w:r>
        <w:rPr>
          <w:rFonts w:hint="eastAsia" w:ascii="宋体" w:hAnsi="宋体"/>
          <w:bCs/>
          <w:sz w:val="24"/>
          <w:szCs w:val="24"/>
        </w:rPr>
        <w:t>28.3 投标截止时间结束后参加投标的供应商不足三家的处理：</w:t>
      </w:r>
    </w:p>
    <w:p w14:paraId="3C2CCD02">
      <w:pPr>
        <w:spacing w:line="360" w:lineRule="auto"/>
        <w:rPr>
          <w:rFonts w:hint="eastAsia" w:ascii="宋体" w:hAnsi="宋体"/>
          <w:bCs/>
          <w:sz w:val="24"/>
          <w:szCs w:val="24"/>
        </w:rPr>
      </w:pPr>
      <w:r>
        <w:rPr>
          <w:rFonts w:hint="eastAsia" w:ascii="宋体" w:hAnsi="宋体"/>
          <w:bCs/>
          <w:sz w:val="24"/>
          <w:szCs w:val="24"/>
        </w:rPr>
        <w:t>28.3.1 如出现投标截止时间结束后参加投标的供应商或者在评标期间对招标文件做出实质响应的供应商不足三家情况，按政府采购相关规定执行。</w:t>
      </w:r>
    </w:p>
    <w:p w14:paraId="33A872C6">
      <w:pPr>
        <w:pStyle w:val="186"/>
        <w:spacing w:after="120"/>
        <w:rPr>
          <w:rFonts w:ascii="宋体" w:hAnsi="宋体" w:cs="Arial"/>
          <w:sz w:val="24"/>
        </w:rPr>
      </w:pPr>
      <w:r>
        <w:rPr>
          <w:rFonts w:hint="eastAsia" w:ascii="宋体" w:hAnsi="宋体" w:cs="Arial"/>
          <w:sz w:val="24"/>
        </w:rPr>
        <w:t>七、定标</w:t>
      </w:r>
    </w:p>
    <w:p w14:paraId="73EA937B">
      <w:pPr>
        <w:spacing w:line="360" w:lineRule="auto"/>
        <w:rPr>
          <w:rFonts w:ascii="宋体" w:hAnsi="宋体" w:cs="Arial"/>
          <w:b/>
          <w:sz w:val="24"/>
        </w:rPr>
      </w:pPr>
      <w:r>
        <w:rPr>
          <w:rFonts w:hint="eastAsia" w:ascii="宋体" w:hAnsi="宋体" w:cs="Arial"/>
          <w:b/>
          <w:sz w:val="24"/>
        </w:rPr>
        <w:t>29</w:t>
      </w:r>
      <w:r>
        <w:rPr>
          <w:rFonts w:ascii="宋体" w:hAnsi="宋体" w:cs="Arial"/>
          <w:b/>
          <w:sz w:val="24"/>
        </w:rPr>
        <w:t>.</w:t>
      </w:r>
      <w:r>
        <w:rPr>
          <w:rFonts w:hint="eastAsia" w:ascii="宋体" w:hAnsi="宋体" w:cs="Arial"/>
          <w:b/>
          <w:sz w:val="24"/>
        </w:rPr>
        <w:t xml:space="preserve"> 确定中标单位</w:t>
      </w:r>
    </w:p>
    <w:p w14:paraId="2BBDFB57">
      <w:pPr>
        <w:spacing w:line="360" w:lineRule="auto"/>
        <w:rPr>
          <w:rFonts w:ascii="宋体" w:hAnsi="宋体"/>
          <w:sz w:val="24"/>
        </w:rPr>
      </w:pPr>
      <w:r>
        <w:rPr>
          <w:rFonts w:ascii="宋体" w:hAnsi="宋体"/>
          <w:sz w:val="24"/>
        </w:rPr>
        <w:t>2</w:t>
      </w:r>
      <w:r>
        <w:rPr>
          <w:rFonts w:hint="eastAsia" w:ascii="宋体" w:hAnsi="宋体"/>
          <w:sz w:val="24"/>
        </w:rPr>
        <w:t>9</w:t>
      </w:r>
      <w:r>
        <w:rPr>
          <w:rFonts w:ascii="宋体" w:hAnsi="宋体"/>
          <w:sz w:val="24"/>
        </w:rPr>
        <w:t>.1 评标委员会根据本招标文件规定评分办法与评分标准向采购人推荐评审得分排序</w:t>
      </w:r>
      <w:r>
        <w:rPr>
          <w:rFonts w:hint="eastAsia" w:ascii="宋体" w:hAnsi="宋体"/>
          <w:sz w:val="24"/>
        </w:rPr>
        <w:t>第一</w:t>
      </w:r>
      <w:r>
        <w:rPr>
          <w:rFonts w:ascii="宋体" w:hAnsi="宋体"/>
          <w:sz w:val="24"/>
        </w:rPr>
        <w:t>的</w:t>
      </w:r>
      <w:r>
        <w:rPr>
          <w:rFonts w:hint="eastAsia" w:ascii="宋体" w:hAnsi="宋体"/>
          <w:sz w:val="24"/>
        </w:rPr>
        <w:t>供应商</w:t>
      </w:r>
      <w:r>
        <w:rPr>
          <w:rFonts w:ascii="宋体" w:hAnsi="宋体"/>
          <w:sz w:val="24"/>
        </w:rPr>
        <w:t>为中标候选人。</w:t>
      </w:r>
      <w:r>
        <w:rPr>
          <w:rFonts w:ascii="宋体" w:hAnsi="宋体"/>
          <w:sz w:val="24"/>
        </w:rPr>
        <w:br w:type="textWrapping" w:clear="all"/>
      </w:r>
      <w:r>
        <w:rPr>
          <w:rFonts w:ascii="宋体" w:hAnsi="宋体"/>
          <w:sz w:val="24"/>
        </w:rPr>
        <w:t>2</w:t>
      </w:r>
      <w:r>
        <w:rPr>
          <w:rFonts w:hint="eastAsia" w:ascii="宋体" w:hAnsi="宋体"/>
          <w:sz w:val="24"/>
        </w:rPr>
        <w:t>9</w:t>
      </w:r>
      <w:r>
        <w:rPr>
          <w:rFonts w:ascii="宋体" w:hAnsi="宋体"/>
          <w:sz w:val="24"/>
        </w:rPr>
        <w:t>.2 采购人应根据评标委员会推荐的中标候选人名单，</w:t>
      </w:r>
      <w:r>
        <w:rPr>
          <w:rFonts w:hint="eastAsia" w:ascii="宋体" w:hAnsi="宋体"/>
          <w:sz w:val="24"/>
        </w:rPr>
        <w:t>确定中标人</w:t>
      </w:r>
      <w:r>
        <w:rPr>
          <w:rFonts w:ascii="宋体" w:hAnsi="宋体"/>
          <w:sz w:val="24"/>
        </w:rPr>
        <w:t>。</w:t>
      </w:r>
    </w:p>
    <w:p w14:paraId="48DBB2D4">
      <w:pPr>
        <w:spacing w:line="360" w:lineRule="auto"/>
        <w:rPr>
          <w:rFonts w:ascii="宋体" w:hAnsi="宋体"/>
          <w:sz w:val="24"/>
        </w:rPr>
      </w:pPr>
      <w:r>
        <w:rPr>
          <w:rFonts w:hint="eastAsia" w:ascii="宋体" w:hAnsi="宋体"/>
          <w:sz w:val="24"/>
        </w:rPr>
        <w:t>29.3 采购代理机构将在“江苏政府采购网”发布中标公告，公告期限为1个工作日。</w:t>
      </w:r>
    </w:p>
    <w:p w14:paraId="0C61C8C3">
      <w:pPr>
        <w:spacing w:line="360" w:lineRule="auto"/>
        <w:rPr>
          <w:rFonts w:ascii="宋体" w:hAnsi="宋体"/>
          <w:sz w:val="24"/>
        </w:rPr>
      </w:pPr>
      <w:r>
        <w:rPr>
          <w:rFonts w:hint="eastAsia" w:ascii="宋体" w:hAnsi="宋体"/>
          <w:sz w:val="24"/>
        </w:rPr>
        <w:t>29.4 若有充分证据证明，中标人出现下列情况之一的，一经查实，将被取消中标资格：</w:t>
      </w:r>
    </w:p>
    <w:p w14:paraId="3A102493">
      <w:pPr>
        <w:spacing w:line="360" w:lineRule="auto"/>
        <w:rPr>
          <w:rFonts w:ascii="宋体" w:hAnsi="宋体"/>
          <w:sz w:val="24"/>
        </w:rPr>
      </w:pPr>
      <w:r>
        <w:rPr>
          <w:rFonts w:hint="eastAsia" w:ascii="宋体" w:hAnsi="宋体"/>
          <w:sz w:val="24"/>
        </w:rPr>
        <w:t>29.4.1提供虚假材料谋取中标的。</w:t>
      </w:r>
    </w:p>
    <w:p w14:paraId="5C855DEC">
      <w:pPr>
        <w:spacing w:line="360" w:lineRule="auto"/>
        <w:rPr>
          <w:rFonts w:ascii="宋体" w:hAnsi="宋体"/>
          <w:sz w:val="24"/>
        </w:rPr>
      </w:pPr>
      <w:r>
        <w:rPr>
          <w:rFonts w:hint="eastAsia" w:ascii="宋体" w:hAnsi="宋体"/>
          <w:sz w:val="24"/>
        </w:rPr>
        <w:t>29.4.2向采购人、采购代理机构行贿或者提供其他不正当利益的。</w:t>
      </w:r>
    </w:p>
    <w:p w14:paraId="23E7C1E4">
      <w:pPr>
        <w:spacing w:line="360" w:lineRule="auto"/>
        <w:rPr>
          <w:rFonts w:ascii="宋体" w:hAnsi="宋体"/>
          <w:sz w:val="24"/>
        </w:rPr>
      </w:pPr>
      <w:r>
        <w:rPr>
          <w:rFonts w:hint="eastAsia" w:ascii="宋体" w:hAnsi="宋体"/>
          <w:sz w:val="24"/>
        </w:rPr>
        <w:t>29.4.3恶意竞争，投标总报价明显低于其自身合理成本且又无法提供证明的。</w:t>
      </w:r>
    </w:p>
    <w:p w14:paraId="6C549D6E">
      <w:pPr>
        <w:spacing w:line="360" w:lineRule="auto"/>
        <w:rPr>
          <w:rFonts w:ascii="宋体" w:hAnsi="宋体"/>
          <w:sz w:val="24"/>
        </w:rPr>
      </w:pPr>
      <w:r>
        <w:rPr>
          <w:rFonts w:hint="eastAsia" w:ascii="宋体" w:hAnsi="宋体"/>
          <w:sz w:val="24"/>
        </w:rPr>
        <w:t>29.4.</w:t>
      </w:r>
      <w:r>
        <w:rPr>
          <w:rFonts w:ascii="宋体" w:hAnsi="宋体"/>
          <w:sz w:val="24"/>
        </w:rPr>
        <w:t>4</w:t>
      </w:r>
      <w:r>
        <w:rPr>
          <w:rFonts w:hint="eastAsia" w:ascii="宋体" w:hAnsi="宋体"/>
          <w:sz w:val="24"/>
        </w:rPr>
        <w:t>与采购人或者其他供应商恶意串通的。</w:t>
      </w:r>
    </w:p>
    <w:p w14:paraId="182102FA">
      <w:pPr>
        <w:spacing w:line="360" w:lineRule="auto"/>
        <w:rPr>
          <w:rFonts w:ascii="宋体" w:hAnsi="宋体"/>
          <w:sz w:val="24"/>
        </w:rPr>
      </w:pPr>
      <w:r>
        <w:rPr>
          <w:rFonts w:hint="eastAsia" w:ascii="宋体" w:hAnsi="宋体"/>
          <w:sz w:val="24"/>
        </w:rPr>
        <w:t>29.4.</w:t>
      </w:r>
      <w:r>
        <w:rPr>
          <w:rFonts w:ascii="宋体" w:hAnsi="宋体"/>
          <w:sz w:val="24"/>
        </w:rPr>
        <w:t>5</w:t>
      </w:r>
      <w:r>
        <w:rPr>
          <w:rFonts w:hint="eastAsia" w:ascii="宋体" w:hAnsi="宋体"/>
          <w:sz w:val="24"/>
        </w:rPr>
        <w:t>采取不正当手段诋毁、排挤其他供应商的。</w:t>
      </w:r>
    </w:p>
    <w:p w14:paraId="1BA1DDC4">
      <w:pPr>
        <w:spacing w:line="360" w:lineRule="auto"/>
        <w:rPr>
          <w:rFonts w:ascii="宋体" w:hAnsi="宋体"/>
          <w:sz w:val="24"/>
        </w:rPr>
      </w:pPr>
      <w:r>
        <w:rPr>
          <w:rFonts w:hint="eastAsia" w:ascii="宋体" w:hAnsi="宋体"/>
          <w:sz w:val="24"/>
        </w:rPr>
        <w:t>29.4.</w:t>
      </w:r>
      <w:r>
        <w:rPr>
          <w:rFonts w:ascii="宋体" w:hAnsi="宋体"/>
          <w:sz w:val="24"/>
        </w:rPr>
        <w:t>6</w:t>
      </w:r>
      <w:r>
        <w:rPr>
          <w:rFonts w:hint="eastAsia" w:ascii="宋体" w:hAnsi="宋体"/>
          <w:sz w:val="24"/>
        </w:rPr>
        <w:t>不符合法律、法规的规定的。</w:t>
      </w:r>
    </w:p>
    <w:p w14:paraId="70AFBF5C">
      <w:pPr>
        <w:spacing w:line="360" w:lineRule="auto"/>
        <w:rPr>
          <w:rFonts w:ascii="宋体" w:hAnsi="宋体"/>
          <w:sz w:val="24"/>
        </w:rPr>
      </w:pPr>
      <w:r>
        <w:rPr>
          <w:rFonts w:hint="eastAsia" w:ascii="宋体" w:hAnsi="宋体"/>
          <w:sz w:val="24"/>
        </w:rPr>
        <w:t xml:space="preserve">29.5 </w:t>
      </w:r>
      <w:r>
        <w:rPr>
          <w:rFonts w:ascii="宋体" w:hAnsi="宋体"/>
          <w:sz w:val="24"/>
        </w:rPr>
        <w:t>有下列情形之一的，</w:t>
      </w:r>
      <w:r>
        <w:rPr>
          <w:rFonts w:hint="eastAsia" w:ascii="宋体" w:hAnsi="宋体"/>
          <w:sz w:val="24"/>
        </w:rPr>
        <w:t>视为投标人</w:t>
      </w:r>
      <w:r>
        <w:rPr>
          <w:rFonts w:ascii="宋体" w:hAnsi="宋体"/>
          <w:sz w:val="24"/>
        </w:rPr>
        <w:t>串通</w:t>
      </w:r>
      <w:r>
        <w:rPr>
          <w:rFonts w:hint="eastAsia" w:ascii="宋体" w:hAnsi="宋体"/>
          <w:sz w:val="24"/>
        </w:rPr>
        <w:t>投标，投标无效：</w:t>
      </w:r>
    </w:p>
    <w:p w14:paraId="1D083BE2">
      <w:pPr>
        <w:spacing w:line="360" w:lineRule="auto"/>
        <w:rPr>
          <w:rFonts w:ascii="宋体" w:hAnsi="宋体"/>
          <w:sz w:val="24"/>
        </w:rPr>
      </w:pPr>
      <w:r>
        <w:rPr>
          <w:rFonts w:hint="eastAsia" w:ascii="宋体" w:hAnsi="宋体"/>
          <w:sz w:val="24"/>
        </w:rPr>
        <w:t>29.5.1不同投标人的投标文件由同一单位或者个人编制。</w:t>
      </w:r>
    </w:p>
    <w:p w14:paraId="11B86810">
      <w:pPr>
        <w:spacing w:line="360" w:lineRule="auto"/>
        <w:rPr>
          <w:rFonts w:ascii="宋体" w:hAnsi="宋体"/>
          <w:sz w:val="24"/>
        </w:rPr>
      </w:pPr>
      <w:r>
        <w:rPr>
          <w:rFonts w:hint="eastAsia" w:ascii="宋体" w:hAnsi="宋体"/>
          <w:sz w:val="24"/>
        </w:rPr>
        <w:t>29.5.2不同投标人委托同一单位或者个人办理投标事宜。</w:t>
      </w:r>
    </w:p>
    <w:p w14:paraId="4CC9F680">
      <w:pPr>
        <w:spacing w:line="360" w:lineRule="auto"/>
        <w:rPr>
          <w:rFonts w:ascii="宋体" w:hAnsi="宋体"/>
          <w:sz w:val="24"/>
        </w:rPr>
      </w:pPr>
      <w:r>
        <w:rPr>
          <w:rFonts w:hint="eastAsia" w:ascii="宋体" w:hAnsi="宋体"/>
          <w:sz w:val="24"/>
        </w:rPr>
        <w:t>29.5.3 不同投标人的投标文件载明的项目管理成员或者联系人员为同一人。</w:t>
      </w:r>
    </w:p>
    <w:p w14:paraId="7DCE1B92">
      <w:pPr>
        <w:spacing w:line="360" w:lineRule="auto"/>
        <w:rPr>
          <w:rFonts w:hint="eastAsia" w:ascii="宋体" w:hAnsi="宋体"/>
          <w:sz w:val="24"/>
        </w:rPr>
      </w:pPr>
      <w:r>
        <w:rPr>
          <w:rFonts w:hint="eastAsia" w:ascii="宋体" w:hAnsi="宋体"/>
          <w:sz w:val="24"/>
        </w:rPr>
        <w:t>29.5.4不同投标人的投标文件异常一致或者投标报价呈规律性差异。</w:t>
      </w:r>
    </w:p>
    <w:p w14:paraId="1499DA4C">
      <w:pPr>
        <w:spacing w:line="360" w:lineRule="auto"/>
        <w:rPr>
          <w:rFonts w:ascii="宋体" w:hAnsi="宋体" w:cs="Arial"/>
          <w:b/>
          <w:sz w:val="24"/>
        </w:rPr>
      </w:pPr>
      <w:r>
        <w:rPr>
          <w:rFonts w:hint="eastAsia" w:ascii="宋体" w:hAnsi="宋体" w:cs="Arial"/>
          <w:b/>
          <w:sz w:val="24"/>
        </w:rPr>
        <w:t>30</w:t>
      </w:r>
      <w:r>
        <w:rPr>
          <w:rFonts w:ascii="宋体" w:hAnsi="宋体" w:cs="Arial"/>
          <w:b/>
          <w:sz w:val="24"/>
        </w:rPr>
        <w:t>.</w:t>
      </w:r>
      <w:r>
        <w:rPr>
          <w:rFonts w:hint="eastAsia" w:ascii="宋体" w:hAnsi="宋体" w:cs="Arial"/>
          <w:b/>
          <w:sz w:val="24"/>
        </w:rPr>
        <w:t xml:space="preserve"> 质疑处理</w:t>
      </w:r>
    </w:p>
    <w:p w14:paraId="7D651C97">
      <w:pPr>
        <w:pStyle w:val="189"/>
        <w:spacing w:line="360" w:lineRule="auto"/>
        <w:ind w:firstLine="0"/>
        <w:rPr>
          <w:rFonts w:ascii="宋体" w:hAnsi="宋体" w:eastAsia="宋体" w:cs="Arial"/>
        </w:rPr>
      </w:pPr>
      <w:r>
        <w:rPr>
          <w:rFonts w:hint="eastAsia" w:ascii="宋体" w:hAnsi="宋体" w:eastAsia="宋体" w:cs="Arial"/>
        </w:rPr>
        <w:t>30</w:t>
      </w:r>
      <w:r>
        <w:rPr>
          <w:rFonts w:ascii="宋体" w:hAnsi="宋体" w:eastAsia="宋体" w:cs="Arial"/>
        </w:rPr>
        <w:t>.</w:t>
      </w:r>
      <w:r>
        <w:rPr>
          <w:rFonts w:hint="eastAsia" w:ascii="宋体" w:hAnsi="宋体" w:eastAsia="宋体" w:cs="Arial"/>
        </w:rPr>
        <w:t>1供应商认为招标文件、招标过程和中标结果使自己的合法权益受到损害的，可以在知道或者应当知道其权益受到损害之日起七个工作日内，将质疑文件原件以书面形式送达采购代理机构。</w:t>
      </w:r>
    </w:p>
    <w:p w14:paraId="1B62A9EE">
      <w:pPr>
        <w:pStyle w:val="189"/>
        <w:spacing w:line="360" w:lineRule="auto"/>
        <w:ind w:firstLine="0"/>
        <w:rPr>
          <w:rFonts w:ascii="宋体" w:hAnsi="宋体" w:eastAsia="宋体" w:cs="Arial"/>
        </w:rPr>
      </w:pPr>
      <w:r>
        <w:rPr>
          <w:rFonts w:hint="eastAsia" w:ascii="宋体" w:hAnsi="宋体" w:eastAsia="宋体" w:cs="Arial"/>
        </w:rPr>
        <w:t>30.2</w:t>
      </w:r>
      <w:r>
        <w:rPr>
          <w:rFonts w:ascii="宋体" w:hAnsi="宋体" w:eastAsia="宋体" w:cs="Arial"/>
        </w:rPr>
        <w:t>质疑供应商是指直接参加本次投标活动的供应商</w:t>
      </w:r>
      <w:r>
        <w:rPr>
          <w:rFonts w:hint="eastAsia" w:ascii="宋体" w:hAnsi="宋体" w:eastAsia="宋体" w:cs="Arial"/>
        </w:rPr>
        <w:t>，未参加投标活动的供应商或在投标活动中自身权益未受到损害的供应商所提出的质疑不予受理。</w:t>
      </w:r>
    </w:p>
    <w:p w14:paraId="07B02157">
      <w:pPr>
        <w:pStyle w:val="189"/>
        <w:spacing w:line="360" w:lineRule="auto"/>
        <w:ind w:firstLine="0"/>
        <w:rPr>
          <w:rFonts w:ascii="宋体" w:hAnsi="宋体" w:eastAsia="宋体" w:cs="Arial"/>
        </w:rPr>
      </w:pPr>
      <w:r>
        <w:rPr>
          <w:rFonts w:hint="eastAsia" w:ascii="宋体" w:hAnsi="宋体" w:eastAsia="宋体" w:cs="Arial"/>
        </w:rPr>
        <w:t>30.3质疑必须以参加投标供应商法定代表人或授权代表（投标文件中所确定的）原件送达的方式提交，否则，采购代理机构有权不予受理。</w:t>
      </w:r>
    </w:p>
    <w:p w14:paraId="79849251">
      <w:pPr>
        <w:pStyle w:val="189"/>
        <w:spacing w:line="360" w:lineRule="auto"/>
        <w:ind w:firstLine="0"/>
        <w:rPr>
          <w:rFonts w:ascii="宋体" w:hAnsi="宋体" w:eastAsia="宋体" w:cs="Arial"/>
        </w:rPr>
      </w:pPr>
      <w:r>
        <w:rPr>
          <w:rFonts w:hint="eastAsia" w:ascii="宋体" w:hAnsi="宋体" w:eastAsia="宋体" w:cs="Arial"/>
        </w:rPr>
        <w:t>30.4</w:t>
      </w:r>
      <w:r>
        <w:rPr>
          <w:rFonts w:ascii="宋体" w:hAnsi="宋体" w:eastAsia="宋体" w:cs="Arial"/>
        </w:rPr>
        <w:t xml:space="preserve"> </w:t>
      </w:r>
      <w:r>
        <w:rPr>
          <w:rFonts w:hint="eastAsia" w:ascii="宋体" w:hAnsi="宋体" w:eastAsia="宋体" w:cs="Arial"/>
        </w:rPr>
        <w:t>上述应知其权益受到损害之日是指：</w:t>
      </w:r>
    </w:p>
    <w:p w14:paraId="46CF2BD5">
      <w:pPr>
        <w:pStyle w:val="189"/>
        <w:spacing w:line="360" w:lineRule="auto"/>
        <w:ind w:firstLine="0"/>
        <w:rPr>
          <w:rFonts w:ascii="宋体" w:hAnsi="宋体" w:eastAsia="宋体" w:cs="Arial"/>
        </w:rPr>
      </w:pPr>
      <w:r>
        <w:rPr>
          <w:rFonts w:hint="eastAsia" w:ascii="宋体" w:hAnsi="宋体" w:eastAsia="宋体" w:cs="Arial"/>
        </w:rPr>
        <w:t>（1）</w:t>
      </w:r>
      <w:r>
        <w:rPr>
          <w:rFonts w:ascii="宋体" w:hAnsi="宋体" w:eastAsia="宋体" w:cs="Arial"/>
        </w:rPr>
        <w:t>对</w:t>
      </w:r>
      <w:r>
        <w:rPr>
          <w:rFonts w:hint="eastAsia" w:ascii="宋体" w:hAnsi="宋体" w:eastAsia="宋体" w:cs="Arial"/>
        </w:rPr>
        <w:t>招标</w:t>
      </w:r>
      <w:r>
        <w:rPr>
          <w:rFonts w:ascii="宋体" w:hAnsi="宋体" w:eastAsia="宋体" w:cs="Arial"/>
        </w:rPr>
        <w:t>文件提出质疑的，为收到</w:t>
      </w:r>
      <w:r>
        <w:rPr>
          <w:rFonts w:hint="eastAsia" w:ascii="宋体" w:hAnsi="宋体" w:eastAsia="宋体" w:cs="Arial"/>
        </w:rPr>
        <w:t>招标</w:t>
      </w:r>
      <w:r>
        <w:rPr>
          <w:rFonts w:ascii="宋体" w:hAnsi="宋体" w:eastAsia="宋体" w:cs="Arial"/>
        </w:rPr>
        <w:t>文件之日或者</w:t>
      </w:r>
      <w:r>
        <w:rPr>
          <w:rFonts w:hint="eastAsia" w:ascii="宋体" w:hAnsi="宋体" w:eastAsia="宋体" w:cs="Arial"/>
        </w:rPr>
        <w:t>招标</w:t>
      </w:r>
      <w:r>
        <w:rPr>
          <w:rFonts w:ascii="宋体" w:hAnsi="宋体" w:eastAsia="宋体" w:cs="Arial"/>
        </w:rPr>
        <w:t>文件公告期限届满之日起计算；</w:t>
      </w:r>
    </w:p>
    <w:p w14:paraId="15C40277">
      <w:pPr>
        <w:pStyle w:val="189"/>
        <w:spacing w:line="360" w:lineRule="auto"/>
        <w:ind w:firstLine="0"/>
        <w:rPr>
          <w:rFonts w:ascii="宋体" w:hAnsi="宋体" w:eastAsia="宋体" w:cs="Arial"/>
        </w:rPr>
      </w:pPr>
      <w:r>
        <w:rPr>
          <w:rFonts w:hint="eastAsia" w:ascii="宋体" w:hAnsi="宋体" w:eastAsia="宋体" w:cs="Arial"/>
        </w:rPr>
        <w:t>（2）</w:t>
      </w:r>
      <w:r>
        <w:rPr>
          <w:rFonts w:ascii="宋体" w:hAnsi="宋体" w:eastAsia="宋体" w:cs="Arial"/>
        </w:rPr>
        <w:t>对</w:t>
      </w:r>
      <w:r>
        <w:rPr>
          <w:rFonts w:hint="eastAsia" w:ascii="宋体" w:hAnsi="宋体" w:eastAsia="宋体" w:cs="Arial"/>
        </w:rPr>
        <w:t>招标</w:t>
      </w:r>
      <w:r>
        <w:rPr>
          <w:rFonts w:ascii="宋体" w:hAnsi="宋体" w:eastAsia="宋体" w:cs="Arial"/>
        </w:rPr>
        <w:t>过程提出质疑的，自</w:t>
      </w:r>
      <w:r>
        <w:rPr>
          <w:rFonts w:hint="eastAsia" w:ascii="宋体" w:hAnsi="宋体" w:eastAsia="宋体" w:cs="Arial"/>
        </w:rPr>
        <w:t>招标</w:t>
      </w:r>
      <w:r>
        <w:rPr>
          <w:rFonts w:ascii="宋体" w:hAnsi="宋体" w:eastAsia="宋体" w:cs="Arial"/>
        </w:rPr>
        <w:t>采购程序环节结束之日起计算；</w:t>
      </w:r>
    </w:p>
    <w:p w14:paraId="53A49AAC">
      <w:pPr>
        <w:pStyle w:val="189"/>
        <w:spacing w:line="360" w:lineRule="auto"/>
        <w:ind w:firstLine="0"/>
        <w:rPr>
          <w:rFonts w:ascii="宋体" w:hAnsi="宋体" w:eastAsia="宋体" w:cs="Arial"/>
        </w:rPr>
      </w:pPr>
      <w:r>
        <w:rPr>
          <w:rFonts w:hint="eastAsia" w:ascii="宋体" w:hAnsi="宋体" w:eastAsia="宋体" w:cs="Arial"/>
        </w:rPr>
        <w:t>（3）</w:t>
      </w:r>
      <w:r>
        <w:rPr>
          <w:rFonts w:ascii="宋体" w:hAnsi="宋体" w:eastAsia="宋体" w:cs="Arial"/>
        </w:rPr>
        <w:t>对中标结果提出质疑的，自中标结果公告期限届满之日起计算。</w:t>
      </w:r>
    </w:p>
    <w:p w14:paraId="0AC5BA4D">
      <w:pPr>
        <w:pStyle w:val="189"/>
        <w:spacing w:line="360" w:lineRule="auto"/>
        <w:ind w:firstLine="0"/>
        <w:rPr>
          <w:rFonts w:ascii="宋体" w:hAnsi="宋体" w:eastAsia="宋体" w:cs="Arial"/>
        </w:rPr>
      </w:pPr>
      <w:r>
        <w:rPr>
          <w:rFonts w:hint="eastAsia" w:ascii="宋体" w:hAnsi="宋体" w:eastAsia="宋体" w:cs="Arial"/>
        </w:rPr>
        <w:t>30.5质疑文件应包括以下主要内容，并按照</w:t>
      </w:r>
      <w:r>
        <w:rPr>
          <w:rFonts w:ascii="宋体" w:hAnsi="宋体" w:eastAsia="宋体" w:cs="Arial"/>
        </w:rPr>
        <w:t>“</w:t>
      </w:r>
      <w:r>
        <w:rPr>
          <w:rFonts w:hint="eastAsia" w:ascii="宋体" w:hAnsi="宋体" w:eastAsia="宋体" w:cs="Arial"/>
        </w:rPr>
        <w:t>谁主张、谁举证</w:t>
      </w:r>
      <w:r>
        <w:rPr>
          <w:rFonts w:ascii="宋体" w:hAnsi="宋体" w:eastAsia="宋体" w:cs="Arial"/>
        </w:rPr>
        <w:t>”</w:t>
      </w:r>
      <w:r>
        <w:rPr>
          <w:rFonts w:hint="eastAsia" w:ascii="宋体" w:hAnsi="宋体" w:eastAsia="宋体" w:cs="Arial"/>
        </w:rPr>
        <w:t>的原则，附上相关证明材料。否则，采购代理机构不予受理：</w:t>
      </w:r>
    </w:p>
    <w:p w14:paraId="2CEF53CE">
      <w:pPr>
        <w:pStyle w:val="189"/>
        <w:spacing w:line="360" w:lineRule="auto"/>
        <w:ind w:firstLine="0"/>
        <w:rPr>
          <w:rFonts w:ascii="宋体" w:hAnsi="宋体" w:eastAsia="宋体" w:cs="Arial"/>
        </w:rPr>
      </w:pPr>
      <w:r>
        <w:rPr>
          <w:rFonts w:hint="eastAsia" w:ascii="宋体" w:hAnsi="宋体" w:eastAsia="宋体" w:cs="Arial"/>
        </w:rPr>
        <w:t>（1）质疑项目名称、项目编号、包号、招标公告发布时间、开标时间；</w:t>
      </w:r>
    </w:p>
    <w:p w14:paraId="5147124C">
      <w:pPr>
        <w:pStyle w:val="189"/>
        <w:spacing w:line="360" w:lineRule="auto"/>
        <w:ind w:firstLine="0"/>
        <w:rPr>
          <w:rFonts w:ascii="宋体" w:hAnsi="宋体" w:eastAsia="宋体" w:cs="Arial"/>
        </w:rPr>
      </w:pPr>
      <w:r>
        <w:rPr>
          <w:rFonts w:hint="eastAsia" w:ascii="宋体" w:hAnsi="宋体" w:eastAsia="宋体" w:cs="Arial"/>
        </w:rPr>
        <w:t>（2）提起质疑的日期、具体的质疑事项及事实根据（具体条款）；</w:t>
      </w:r>
    </w:p>
    <w:p w14:paraId="0857177A">
      <w:pPr>
        <w:pStyle w:val="189"/>
        <w:spacing w:line="360" w:lineRule="auto"/>
        <w:ind w:firstLine="0"/>
        <w:rPr>
          <w:rFonts w:ascii="宋体" w:hAnsi="宋体" w:eastAsia="宋体" w:cs="Arial"/>
        </w:rPr>
      </w:pPr>
      <w:r>
        <w:rPr>
          <w:rFonts w:hint="eastAsia" w:ascii="宋体" w:hAnsi="宋体" w:eastAsia="宋体" w:cs="Arial"/>
        </w:rPr>
        <w:t>（3）认为自己合法权益受到损害或可能受到损害的相关证据材料；</w:t>
      </w:r>
    </w:p>
    <w:p w14:paraId="70A0CB9F">
      <w:pPr>
        <w:pStyle w:val="189"/>
        <w:spacing w:line="360" w:lineRule="auto"/>
        <w:ind w:firstLine="0"/>
        <w:rPr>
          <w:rFonts w:ascii="宋体" w:hAnsi="宋体" w:eastAsia="宋体" w:cs="Arial"/>
        </w:rPr>
      </w:pPr>
      <w:r>
        <w:rPr>
          <w:rFonts w:hint="eastAsia" w:ascii="宋体" w:hAnsi="宋体" w:eastAsia="宋体" w:cs="Arial"/>
        </w:rPr>
        <w:t>（4）质疑供应商名称、地址、邮编、联系人、联系电话（包括座机、手机、传真号码等）；</w:t>
      </w:r>
    </w:p>
    <w:p w14:paraId="4C2C3825">
      <w:pPr>
        <w:pStyle w:val="189"/>
        <w:spacing w:line="360" w:lineRule="auto"/>
        <w:ind w:firstLine="0"/>
        <w:rPr>
          <w:rFonts w:ascii="宋体" w:hAnsi="宋体" w:eastAsia="宋体" w:cs="Arial"/>
        </w:rPr>
      </w:pPr>
      <w:r>
        <w:rPr>
          <w:rFonts w:hint="eastAsia" w:ascii="宋体" w:hAnsi="宋体" w:eastAsia="宋体" w:cs="Arial"/>
        </w:rPr>
        <w:t>（5）质疑文件应当署名。</w:t>
      </w:r>
      <w:r>
        <w:rPr>
          <w:rFonts w:ascii="宋体" w:hAnsi="宋体" w:eastAsia="宋体" w:cs="Arial"/>
        </w:rPr>
        <w:t>供应商为自然人的，应当由本人签字；供应商为法人或者其他组织的，应当由法定代表人或者其</w:t>
      </w:r>
      <w:r>
        <w:rPr>
          <w:rFonts w:hint="eastAsia" w:ascii="宋体" w:hAnsi="宋体" w:eastAsia="宋体" w:cs="Arial"/>
        </w:rPr>
        <w:t>投标</w:t>
      </w:r>
      <w:r>
        <w:rPr>
          <w:rFonts w:ascii="宋体" w:hAnsi="宋体" w:eastAsia="宋体" w:cs="Arial"/>
        </w:rPr>
        <w:t>授权代表签字或者盖章，并加盖公章</w:t>
      </w:r>
      <w:r>
        <w:rPr>
          <w:rFonts w:hint="eastAsia" w:ascii="宋体" w:hAnsi="宋体" w:eastAsia="宋体" w:cs="Arial"/>
        </w:rPr>
        <w:t>。</w:t>
      </w:r>
    </w:p>
    <w:p w14:paraId="4B731F03">
      <w:pPr>
        <w:pStyle w:val="189"/>
        <w:spacing w:line="360" w:lineRule="auto"/>
        <w:ind w:firstLine="0"/>
        <w:rPr>
          <w:rFonts w:ascii="宋体" w:hAnsi="宋体" w:eastAsia="宋体" w:cs="Arial"/>
        </w:rPr>
      </w:pPr>
      <w:r>
        <w:rPr>
          <w:rFonts w:hint="eastAsia" w:ascii="宋体" w:hAnsi="宋体" w:eastAsia="宋体" w:cs="Arial"/>
        </w:rPr>
        <w:t>30.</w:t>
      </w:r>
      <w:r>
        <w:rPr>
          <w:rFonts w:ascii="宋体" w:hAnsi="宋体" w:eastAsia="宋体" w:cs="Arial"/>
        </w:rPr>
        <w:t>6</w:t>
      </w:r>
      <w:r>
        <w:rPr>
          <w:rFonts w:hint="eastAsia" w:ascii="宋体" w:hAnsi="宋体" w:eastAsia="宋体" w:cs="Arial"/>
        </w:rPr>
        <w:t>采购代理机构收到质疑函后，将对质疑的形式和内容进行审查，如质疑函内容、格式不符合规定，采购代理机构将告知质疑人进行补正。</w:t>
      </w:r>
    </w:p>
    <w:p w14:paraId="63ADB881">
      <w:pPr>
        <w:pStyle w:val="189"/>
        <w:spacing w:line="360" w:lineRule="auto"/>
        <w:ind w:firstLine="0"/>
        <w:rPr>
          <w:rFonts w:ascii="宋体" w:hAnsi="宋体" w:eastAsia="宋体" w:cs="Arial"/>
        </w:rPr>
      </w:pPr>
      <w:r>
        <w:rPr>
          <w:rFonts w:hint="eastAsia" w:ascii="宋体" w:hAnsi="宋体" w:eastAsia="宋体" w:cs="Arial"/>
        </w:rPr>
        <w:t>30.</w:t>
      </w:r>
      <w:r>
        <w:rPr>
          <w:rFonts w:ascii="宋体" w:hAnsi="宋体" w:eastAsia="宋体" w:cs="Arial"/>
        </w:rPr>
        <w:t>7</w:t>
      </w:r>
      <w:r>
        <w:rPr>
          <w:rFonts w:hint="eastAsia" w:ascii="宋体" w:hAnsi="宋体" w:eastAsia="宋体" w:cs="Arial"/>
        </w:rPr>
        <w:t>质疑人应当在法定质疑期限内进行补正并重新提交质疑函，拒不补正或者在法定期限内未重新提交质疑函的，为无效质疑，采购代理机构有权不予受理。</w:t>
      </w:r>
    </w:p>
    <w:p w14:paraId="0B1D4C4B">
      <w:pPr>
        <w:pStyle w:val="189"/>
        <w:spacing w:line="360" w:lineRule="auto"/>
        <w:ind w:firstLine="0"/>
        <w:rPr>
          <w:rFonts w:ascii="宋体" w:hAnsi="宋体" w:eastAsia="宋体" w:cs="Arial"/>
        </w:rPr>
      </w:pPr>
      <w:r>
        <w:rPr>
          <w:rFonts w:hint="eastAsia" w:ascii="宋体" w:hAnsi="宋体" w:eastAsia="宋体" w:cs="Arial"/>
        </w:rPr>
        <w:t>30.</w:t>
      </w:r>
      <w:r>
        <w:rPr>
          <w:rFonts w:ascii="宋体" w:hAnsi="宋体" w:eastAsia="宋体" w:cs="Arial"/>
        </w:rPr>
        <w:t>8</w:t>
      </w:r>
      <w:r>
        <w:rPr>
          <w:rFonts w:hint="eastAsia" w:ascii="宋体" w:hAnsi="宋体" w:eastAsia="宋体" w:cs="Arial"/>
        </w:rPr>
        <w:t>对于内容、格式符合规定的质疑函，采购代理机构应当在收到投标人的书面质疑后七个工作日内作出答复，并以书面形式通知质疑投标人和其他有关投标人，但答复的内容不得涉及商业秘密。</w:t>
      </w:r>
    </w:p>
    <w:p w14:paraId="6F70A101">
      <w:pPr>
        <w:pStyle w:val="189"/>
        <w:spacing w:line="360" w:lineRule="auto"/>
        <w:ind w:firstLine="0"/>
        <w:rPr>
          <w:rFonts w:ascii="宋体" w:hAnsi="宋体" w:eastAsia="宋体" w:cs="Arial"/>
        </w:rPr>
      </w:pPr>
      <w:r>
        <w:rPr>
          <w:rFonts w:hint="eastAsia" w:ascii="宋体" w:hAnsi="宋体" w:eastAsia="宋体" w:cs="Arial"/>
        </w:rPr>
        <w:t>30.</w:t>
      </w:r>
      <w:r>
        <w:rPr>
          <w:rFonts w:ascii="宋体" w:hAnsi="宋体" w:eastAsia="宋体" w:cs="Arial"/>
        </w:rPr>
        <w:t>9</w:t>
      </w:r>
      <w:r>
        <w:rPr>
          <w:rFonts w:hint="eastAsia" w:ascii="宋体" w:hAnsi="宋体" w:eastAsia="宋体" w:cs="Arial"/>
        </w:rPr>
        <w:t>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理机构将提请政府采购管理部门将其列入不良行为记录名单，并依法予以处罚。</w:t>
      </w:r>
    </w:p>
    <w:p w14:paraId="6E0E7A61">
      <w:pPr>
        <w:spacing w:line="360" w:lineRule="auto"/>
        <w:rPr>
          <w:rFonts w:ascii="宋体" w:hAnsi="宋体" w:cs="Arial"/>
          <w:b/>
          <w:sz w:val="24"/>
        </w:rPr>
      </w:pPr>
      <w:r>
        <w:rPr>
          <w:rFonts w:ascii="宋体" w:hAnsi="宋体" w:cs="Arial"/>
          <w:b/>
          <w:sz w:val="24"/>
        </w:rPr>
        <w:t>3</w:t>
      </w:r>
      <w:r>
        <w:rPr>
          <w:rFonts w:hint="eastAsia" w:ascii="宋体" w:hAnsi="宋体" w:cs="Arial"/>
          <w:b/>
          <w:sz w:val="24"/>
        </w:rPr>
        <w:t>1</w:t>
      </w:r>
      <w:r>
        <w:rPr>
          <w:rFonts w:ascii="宋体" w:hAnsi="宋体" w:cs="Arial"/>
          <w:b/>
          <w:sz w:val="24"/>
        </w:rPr>
        <w:t>. 中标通知书</w:t>
      </w:r>
    </w:p>
    <w:p w14:paraId="5BF0E9F8">
      <w:pPr>
        <w:pStyle w:val="189"/>
        <w:spacing w:line="360" w:lineRule="auto"/>
        <w:ind w:firstLine="0"/>
        <w:rPr>
          <w:rFonts w:hint="eastAsia" w:ascii="宋体" w:hAnsi="宋体" w:eastAsia="宋体" w:cs="Arial"/>
        </w:rPr>
      </w:pPr>
      <w:r>
        <w:rPr>
          <w:rFonts w:ascii="宋体" w:hAnsi="宋体" w:eastAsia="宋体" w:cs="Arial"/>
        </w:rPr>
        <w:t>3</w:t>
      </w:r>
      <w:r>
        <w:rPr>
          <w:rFonts w:hint="eastAsia" w:ascii="宋体" w:hAnsi="宋体" w:eastAsia="宋体" w:cs="Arial"/>
        </w:rPr>
        <w:t>1.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321096F">
      <w:pPr>
        <w:pStyle w:val="189"/>
        <w:spacing w:line="360" w:lineRule="auto"/>
        <w:ind w:firstLine="0"/>
        <w:rPr>
          <w:rFonts w:hint="eastAsia" w:ascii="宋体" w:hAnsi="宋体" w:eastAsia="宋体" w:cs="Arial"/>
        </w:rPr>
      </w:pPr>
      <w:r>
        <w:rPr>
          <w:rFonts w:hint="eastAsia" w:ascii="宋体" w:hAnsi="宋体" w:eastAsia="宋体" w:cs="Arial"/>
        </w:rPr>
        <w:t>31.2中标通知书将是合同的一个组成部分。对采购人和中标供应商均具有法律效力。中标通知书发出后，采购人改变中标结果的，或者中标供应商放弃中标项目的，应当依法承担法律责任。</w:t>
      </w:r>
    </w:p>
    <w:p w14:paraId="27A79F5C">
      <w:pPr>
        <w:pStyle w:val="186"/>
        <w:spacing w:after="120"/>
        <w:rPr>
          <w:rFonts w:ascii="宋体" w:hAnsi="宋体" w:cs="Arial"/>
          <w:sz w:val="24"/>
        </w:rPr>
      </w:pPr>
      <w:r>
        <w:rPr>
          <w:rFonts w:hint="eastAsia" w:ascii="宋体" w:hAnsi="宋体" w:cs="Arial"/>
          <w:sz w:val="24"/>
        </w:rPr>
        <w:t>八、授予合同</w:t>
      </w:r>
    </w:p>
    <w:p w14:paraId="2518CE45">
      <w:pPr>
        <w:spacing w:line="360" w:lineRule="auto"/>
        <w:rPr>
          <w:rFonts w:ascii="宋体" w:hAnsi="宋体" w:cs="Arial"/>
          <w:b/>
          <w:sz w:val="24"/>
        </w:rPr>
      </w:pPr>
      <w:r>
        <w:rPr>
          <w:rFonts w:hint="eastAsia" w:ascii="宋体" w:hAnsi="宋体" w:cs="Arial"/>
          <w:b/>
          <w:sz w:val="24"/>
        </w:rPr>
        <w:t>32. 签订合同</w:t>
      </w:r>
    </w:p>
    <w:p w14:paraId="6E6B9A99">
      <w:pPr>
        <w:pStyle w:val="189"/>
        <w:spacing w:line="360" w:lineRule="auto"/>
        <w:ind w:firstLine="0"/>
        <w:rPr>
          <w:rFonts w:ascii="宋体" w:hAnsi="宋体" w:eastAsia="宋体" w:cs="Arial"/>
        </w:rPr>
      </w:pPr>
      <w:r>
        <w:rPr>
          <w:rFonts w:hint="eastAsia" w:ascii="宋体" w:hAnsi="宋体" w:eastAsia="宋体" w:cs="Arial"/>
        </w:rPr>
        <w:t>32.l中标人应按中标通知书规定的时间、地点,按照招标文件确定的事项与采购人签订政府采购合同，且不得迟于中标通知书发出之日起三十日内。</w:t>
      </w:r>
    </w:p>
    <w:p w14:paraId="5F20D933">
      <w:pPr>
        <w:pStyle w:val="189"/>
        <w:spacing w:line="360" w:lineRule="auto"/>
        <w:ind w:firstLine="0"/>
        <w:rPr>
          <w:rFonts w:ascii="宋体" w:hAnsi="宋体" w:eastAsia="宋体" w:cs="Arial"/>
        </w:rPr>
      </w:pPr>
      <w:r>
        <w:rPr>
          <w:rFonts w:hint="eastAsia" w:ascii="宋体" w:hAnsi="宋体" w:eastAsia="宋体" w:cs="Arial"/>
        </w:rPr>
        <w:t>32.2招标文件、中标人的投标文件及招标过程中有关澄清、承诺文件均应作为合同附件。</w:t>
      </w:r>
    </w:p>
    <w:p w14:paraId="1049C0E3">
      <w:pPr>
        <w:pStyle w:val="189"/>
        <w:spacing w:line="360" w:lineRule="auto"/>
        <w:ind w:firstLine="0"/>
        <w:rPr>
          <w:rFonts w:ascii="宋体" w:hAnsi="宋体" w:eastAsia="宋体" w:cs="Arial"/>
        </w:rPr>
      </w:pPr>
      <w:r>
        <w:rPr>
          <w:rFonts w:hint="eastAsia" w:ascii="宋体" w:hAnsi="宋体" w:eastAsia="宋体" w:cs="Arial"/>
        </w:rPr>
        <w:t>32.3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p>
    <w:p w14:paraId="785C4851">
      <w:pPr>
        <w:spacing w:line="360" w:lineRule="auto"/>
        <w:rPr>
          <w:rFonts w:ascii="宋体" w:hAnsi="宋体" w:cs="Arial"/>
          <w:b/>
          <w:sz w:val="24"/>
        </w:rPr>
      </w:pPr>
      <w:r>
        <w:rPr>
          <w:rFonts w:hint="eastAsia" w:ascii="宋体" w:hAnsi="宋体" w:cs="Arial"/>
          <w:b/>
          <w:sz w:val="24"/>
        </w:rPr>
        <w:t>33</w:t>
      </w:r>
      <w:r>
        <w:rPr>
          <w:rFonts w:ascii="宋体" w:hAnsi="宋体" w:cs="Arial"/>
          <w:b/>
          <w:sz w:val="24"/>
        </w:rPr>
        <w:t xml:space="preserve">. </w:t>
      </w:r>
      <w:r>
        <w:rPr>
          <w:rFonts w:hint="eastAsia" w:ascii="宋体" w:hAnsi="宋体" w:cs="Arial"/>
          <w:b/>
          <w:sz w:val="24"/>
        </w:rPr>
        <w:t>货物和服务的追加、减少和添购</w:t>
      </w:r>
    </w:p>
    <w:p w14:paraId="7B954185">
      <w:pPr>
        <w:pStyle w:val="189"/>
        <w:spacing w:line="360" w:lineRule="auto"/>
        <w:ind w:firstLine="0"/>
        <w:rPr>
          <w:rFonts w:ascii="宋体" w:hAnsi="宋体" w:eastAsia="宋体" w:cs="Arial"/>
        </w:rPr>
      </w:pPr>
      <w:r>
        <w:rPr>
          <w:rFonts w:hint="eastAsia" w:ascii="宋体" w:hAnsi="宋体" w:eastAsia="宋体" w:cs="Arial"/>
        </w:rPr>
        <w:t>33.1政府采购合同履行中，采购人需追加与合同标的相同的货物和服务的，在不改变合同其他条款的前提下，可以与中标人协商签订补充合同，但所有补充合同的采购金额不超过原合同金额10%。</w:t>
      </w:r>
    </w:p>
    <w:p w14:paraId="033DA933">
      <w:pPr>
        <w:pStyle w:val="189"/>
        <w:spacing w:line="360" w:lineRule="auto"/>
        <w:ind w:firstLine="0"/>
        <w:rPr>
          <w:rFonts w:ascii="宋体" w:hAnsi="宋体" w:eastAsia="宋体" w:cs="Arial"/>
        </w:rPr>
      </w:pPr>
      <w:r>
        <w:rPr>
          <w:rFonts w:hint="eastAsia" w:ascii="宋体" w:hAnsi="宋体" w:eastAsia="宋体" w:cs="Arial"/>
        </w:rPr>
        <w:t>33.2采购结束后，采购人若由于各种客观原因，必须对采购项目所牵涉的货物和服务进行适当的减少时，在双方协商一致的前提下，可以按照招标采购时的价格水平做相应的调减，并据此签订补充合同。</w:t>
      </w:r>
    </w:p>
    <w:p w14:paraId="2BD1CB46">
      <w:pPr>
        <w:spacing w:line="360" w:lineRule="auto"/>
        <w:rPr>
          <w:rFonts w:hint="eastAsia" w:ascii="宋体" w:hAnsi="宋体" w:cs="Arial"/>
          <w:b/>
          <w:sz w:val="24"/>
        </w:rPr>
      </w:pPr>
      <w:r>
        <w:rPr>
          <w:rFonts w:hint="eastAsia" w:ascii="宋体" w:hAnsi="宋体" w:cs="Arial"/>
          <w:b/>
          <w:sz w:val="24"/>
        </w:rPr>
        <w:t>34．政府采购履约资金扶持政策</w:t>
      </w:r>
    </w:p>
    <w:p w14:paraId="1F7480CA">
      <w:pPr>
        <w:spacing w:line="360" w:lineRule="auto"/>
        <w:rPr>
          <w:rFonts w:ascii="宋体" w:hAnsi="宋体" w:cs="Arial"/>
          <w:sz w:val="24"/>
        </w:rPr>
      </w:pPr>
      <w:r>
        <w:rPr>
          <w:rFonts w:hint="eastAsia" w:ascii="宋体" w:hAnsi="宋体" w:cs="Arial"/>
          <w:sz w:val="24"/>
        </w:rPr>
        <w:t>34.1中标人可凭政府采购合同办理融资贷款，详情请见江苏政府采购网“政采贷”专栏。</w:t>
      </w:r>
    </w:p>
    <w:p w14:paraId="1FB6375C">
      <w:pPr>
        <w:spacing w:line="360" w:lineRule="auto"/>
        <w:rPr>
          <w:rFonts w:ascii="宋体" w:hAnsi="宋体" w:cs="Arial"/>
          <w:b/>
          <w:sz w:val="24"/>
        </w:rPr>
      </w:pPr>
      <w:r>
        <w:rPr>
          <w:rFonts w:hint="eastAsia" w:ascii="宋体" w:hAnsi="宋体" w:cs="Arial"/>
          <w:b/>
          <w:sz w:val="24"/>
        </w:rPr>
        <w:t>35.强化政府采购异常低价审查</w:t>
      </w:r>
    </w:p>
    <w:p w14:paraId="762DDEE1">
      <w:pPr>
        <w:pStyle w:val="189"/>
        <w:spacing w:line="360" w:lineRule="auto"/>
        <w:ind w:firstLine="0"/>
        <w:rPr>
          <w:rFonts w:hint="eastAsia" w:ascii="宋体" w:hAnsi="宋体" w:eastAsia="宋体" w:cs="Arial"/>
        </w:rPr>
      </w:pPr>
      <w:r>
        <w:rPr>
          <w:rFonts w:hint="eastAsia" w:ascii="宋体" w:hAnsi="宋体" w:eastAsia="宋体" w:cs="Arial"/>
        </w:rPr>
        <w:t>35.1异常低价投标审查：评标过程中出现下列情形之一的，评标委员会应当启动异常低价投标审查程序：</w:t>
      </w:r>
    </w:p>
    <w:p w14:paraId="3046BF62">
      <w:pPr>
        <w:pStyle w:val="189"/>
        <w:spacing w:line="360" w:lineRule="auto"/>
        <w:ind w:firstLine="0"/>
        <w:rPr>
          <w:rFonts w:hint="eastAsia" w:ascii="宋体" w:hAnsi="宋体" w:eastAsia="宋体" w:cs="Arial"/>
        </w:rPr>
      </w:pPr>
      <w:r>
        <w:rPr>
          <w:rFonts w:hint="eastAsia" w:ascii="宋体" w:hAnsi="宋体" w:eastAsia="宋体" w:cs="Arial"/>
        </w:rPr>
        <w:t>（1）</w:t>
      </w:r>
      <w:r>
        <w:rPr>
          <w:rFonts w:ascii="宋体" w:hAnsi="宋体" w:eastAsia="宋体" w:cs="Arial"/>
        </w:rPr>
        <w:t>投标（响应）报价低于全部通过符合性审查供应商投标（响应）报价平均值50%的，即投标（响应）报价&lt;全部通过符合性审查供应商投标（响应）报价平均值×50%；</w:t>
      </w:r>
    </w:p>
    <w:p w14:paraId="57E036CD">
      <w:pPr>
        <w:pStyle w:val="189"/>
        <w:spacing w:line="360" w:lineRule="auto"/>
        <w:ind w:firstLine="0"/>
        <w:rPr>
          <w:rFonts w:hint="eastAsia" w:ascii="宋体" w:hAnsi="宋体" w:eastAsia="宋体" w:cs="Arial"/>
        </w:rPr>
      </w:pPr>
      <w:r>
        <w:rPr>
          <w:rFonts w:hint="eastAsia" w:ascii="宋体" w:hAnsi="宋体" w:eastAsia="宋体" w:cs="Arial"/>
        </w:rPr>
        <w:t>（2）</w:t>
      </w:r>
      <w:r>
        <w:rPr>
          <w:rFonts w:ascii="宋体" w:hAnsi="宋体" w:eastAsia="宋体" w:cs="Arial"/>
        </w:rPr>
        <w:t>投标（响应）报价低于通过符合性审查的次低报价供应商投标（响应）报价50%的，即投标（响应）报价&lt;通过符合性审查的次低报价供应商投标（响应）报价×50%；</w:t>
      </w:r>
    </w:p>
    <w:p w14:paraId="6AD0F3A9">
      <w:pPr>
        <w:pStyle w:val="189"/>
        <w:spacing w:line="360" w:lineRule="auto"/>
        <w:ind w:firstLine="0"/>
        <w:rPr>
          <w:rFonts w:hint="eastAsia" w:ascii="宋体" w:hAnsi="宋体" w:eastAsia="宋体" w:cs="Arial"/>
        </w:rPr>
      </w:pPr>
      <w:r>
        <w:rPr>
          <w:rFonts w:hint="eastAsia" w:ascii="宋体" w:hAnsi="宋体" w:eastAsia="宋体" w:cs="Arial"/>
        </w:rPr>
        <w:t>（3）</w:t>
      </w:r>
      <w:r>
        <w:rPr>
          <w:rFonts w:ascii="宋体" w:hAnsi="宋体" w:eastAsia="宋体" w:cs="Arial"/>
        </w:rPr>
        <w:t>投标（响应）报价低于采购项目最高限价45%的，即投标（响应）报价&lt;采购项目最高限价×45%；</w:t>
      </w:r>
    </w:p>
    <w:p w14:paraId="3C36B2BF">
      <w:pPr>
        <w:pStyle w:val="189"/>
        <w:spacing w:line="360" w:lineRule="auto"/>
        <w:ind w:firstLine="0"/>
        <w:rPr>
          <w:rFonts w:hint="eastAsia" w:ascii="宋体" w:hAnsi="宋体" w:eastAsia="宋体" w:cs="Arial"/>
        </w:rPr>
      </w:pPr>
      <w:r>
        <w:rPr>
          <w:rFonts w:hint="eastAsia" w:ascii="宋体" w:hAnsi="宋体" w:eastAsia="宋体" w:cs="Arial"/>
        </w:rPr>
        <w:t>（4）</w:t>
      </w:r>
      <w:r>
        <w:rPr>
          <w:rFonts w:ascii="宋体" w:hAnsi="宋体" w:eastAsia="宋体" w:cs="Arial"/>
        </w:rPr>
        <w:t>评审委员会基于专业判断，认为供应商报价过低，有可能影响产品质量或者不能诚信履约的其他情形。</w:t>
      </w:r>
    </w:p>
    <w:p w14:paraId="18FFC7E4">
      <w:pPr>
        <w:pStyle w:val="189"/>
        <w:spacing w:line="360" w:lineRule="auto"/>
        <w:ind w:firstLine="0"/>
        <w:rPr>
          <w:rFonts w:hint="eastAsia" w:ascii="宋体" w:hAnsi="宋体" w:eastAsia="宋体" w:cs="Arial"/>
        </w:rPr>
      </w:pPr>
      <w:r>
        <w:rPr>
          <w:rFonts w:hint="eastAsia" w:ascii="宋体" w:hAnsi="宋体" w:eastAsia="宋体" w:cs="Arial"/>
        </w:rPr>
        <w:t>35.2</w:t>
      </w:r>
      <w:r>
        <w:rPr>
          <w:rFonts w:ascii="宋体" w:hAnsi="宋体" w:eastAsia="宋体" w:cs="Arial"/>
        </w:rPr>
        <w:t>评审委员会启动异常低价投标（响应）审查后，属于前述第</w:t>
      </w:r>
      <w:r>
        <w:rPr>
          <w:rFonts w:hint="eastAsia" w:ascii="宋体" w:hAnsi="宋体" w:eastAsia="宋体" w:cs="Arial"/>
        </w:rPr>
        <w:t>（1）</w:t>
      </w:r>
      <w:r>
        <w:rPr>
          <w:rFonts w:ascii="宋体" w:hAnsi="宋体" w:eastAsia="宋体" w:cs="Arial"/>
        </w:rPr>
        <w:t>项至第</w:t>
      </w:r>
      <w:r>
        <w:rPr>
          <w:rFonts w:hint="eastAsia" w:ascii="宋体" w:hAnsi="宋体" w:eastAsia="宋体" w:cs="Arial"/>
        </w:rPr>
        <w:t>（4）</w:t>
      </w:r>
      <w:r>
        <w:rPr>
          <w:rFonts w:ascii="宋体" w:hAnsi="宋体" w:eastAsia="宋体" w:cs="Aria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（3）</w:t>
      </w:r>
      <w:r>
        <w:rPr>
          <w:rFonts w:ascii="宋体" w:hAnsi="宋体" w:eastAsia="宋体" w:cs="Arial"/>
        </w:rPr>
        <w:t>项情形，供应商已随投标（响应）文件一并提交相关书面说明及必要的证明材料的，在评审现场可不再重复提交。</w:t>
      </w:r>
    </w:p>
    <w:p w14:paraId="518AE332">
      <w:pPr>
        <w:pStyle w:val="189"/>
        <w:spacing w:line="360" w:lineRule="auto"/>
        <w:ind w:firstLine="0"/>
        <w:rPr>
          <w:rFonts w:hint="eastAsia" w:ascii="宋体" w:hAnsi="宋体" w:eastAsia="宋体" w:cs="Arial"/>
        </w:rPr>
      </w:pPr>
      <w:r>
        <w:rPr>
          <w:rFonts w:hint="eastAsia" w:ascii="宋体" w:hAnsi="宋体" w:eastAsia="宋体" w:cs="Arial"/>
        </w:rPr>
        <w:t>35.3</w:t>
      </w:r>
      <w:r>
        <w:rPr>
          <w:rFonts w:ascii="宋体" w:hAnsi="宋体" w:eastAsia="宋体" w:cs="Aria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A9CEC3">
      <w:pPr>
        <w:spacing w:line="360" w:lineRule="auto"/>
        <w:ind w:firstLine="480"/>
        <w:rPr>
          <w:rFonts w:ascii="宋体" w:hAnsi="宋体" w:cs="Arial"/>
          <w:sz w:val="24"/>
        </w:rPr>
      </w:pPr>
    </w:p>
    <w:p w14:paraId="67A49E44">
      <w:pPr>
        <w:spacing w:line="360" w:lineRule="auto"/>
        <w:rPr>
          <w:rFonts w:ascii="宋体" w:hAnsi="宋体" w:cs="Arial"/>
          <w:sz w:val="24"/>
        </w:rPr>
      </w:pPr>
    </w:p>
    <w:p w14:paraId="34984EC5">
      <w:pPr>
        <w:pStyle w:val="185"/>
        <w:spacing w:before="120" w:after="100" w:afterAutospacing="1" w:line="240" w:lineRule="auto"/>
        <w:jc w:val="center"/>
        <w:rPr>
          <w:rFonts w:ascii="Arial" w:hAnsi="Arial" w:eastAsia="黑体" w:cs="Arial"/>
          <w:sz w:val="32"/>
        </w:rPr>
      </w:pPr>
      <w:bookmarkStart w:id="102" w:name="_Toc5950"/>
      <w:r>
        <w:rPr>
          <w:rFonts w:ascii="Arial" w:hAnsi="Arial" w:eastAsia="黑体" w:cs="Arial"/>
          <w:sz w:val="32"/>
        </w:rPr>
        <w:t>第</w:t>
      </w:r>
      <w:r>
        <w:rPr>
          <w:rFonts w:hint="eastAsia" w:ascii="Arial" w:hAnsi="Arial" w:eastAsia="黑体" w:cs="Arial"/>
          <w:sz w:val="32"/>
        </w:rPr>
        <w:t>三</w:t>
      </w:r>
      <w:r>
        <w:rPr>
          <w:rFonts w:ascii="Arial" w:hAnsi="Arial" w:eastAsia="黑体" w:cs="Arial"/>
          <w:sz w:val="32"/>
        </w:rPr>
        <w:t>章</w:t>
      </w:r>
      <w:r>
        <w:rPr>
          <w:rFonts w:hint="eastAsia" w:ascii="Arial" w:hAnsi="Arial" w:eastAsia="黑体" w:cs="Arial"/>
          <w:sz w:val="32"/>
        </w:rPr>
        <w:t xml:space="preserve"> 项目需求</w:t>
      </w:r>
      <w:bookmarkEnd w:id="102"/>
    </w:p>
    <w:p w14:paraId="55DCD749">
      <w:pPr>
        <w:pStyle w:val="191"/>
        <w:numPr>
          <w:ilvl w:val="0"/>
          <w:numId w:val="0"/>
        </w:numPr>
        <w:spacing w:before="271" w:line="360" w:lineRule="auto"/>
        <w:outlineLvl w:val="1"/>
        <w:rPr>
          <w:rFonts w:hint="default" w:ascii="宋体" w:hAnsi="宋体" w:eastAsia="宋体" w:cs="Times New Roman"/>
          <w:b/>
          <w:bCs/>
          <w:spacing w:val="6"/>
          <w:sz w:val="24"/>
          <w:szCs w:val="24"/>
          <w:lang w:val="en-US" w:eastAsia="zh-CN"/>
        </w:rPr>
      </w:pPr>
      <w:bookmarkStart w:id="103" w:name="_Toc237917802"/>
      <w:r>
        <w:rPr>
          <w:rFonts w:hint="eastAsia" w:ascii="宋体" w:hAnsi="宋体" w:eastAsia="宋体"/>
          <w:b/>
          <w:bCs/>
          <w:spacing w:val="6"/>
          <w:sz w:val="24"/>
          <w:szCs w:val="24"/>
        </w:rPr>
        <w:t>一、</w:t>
      </w:r>
      <w:r>
        <w:rPr>
          <w:rFonts w:hint="eastAsia" w:ascii="宋体" w:hAnsi="宋体" w:eastAsia="宋体" w:cs="Times New Roman"/>
          <w:b/>
          <w:bCs/>
          <w:spacing w:val="6"/>
          <w:sz w:val="24"/>
          <w:szCs w:val="24"/>
          <w:lang w:val="en-US" w:eastAsia="zh-CN"/>
        </w:rPr>
        <w:t>技术参数</w:t>
      </w:r>
    </w:p>
    <w:p w14:paraId="63CC8DCD">
      <w:pPr>
        <w:keepNext w:val="0"/>
        <w:keepLines w:val="0"/>
        <w:pageBreakBefore w:val="0"/>
        <w:widowControl w:val="0"/>
        <w:kinsoku/>
        <w:wordWrap w:val="0"/>
        <w:overflowPunct/>
        <w:topLinePunct w:val="0"/>
        <w:autoSpaceDE/>
        <w:autoSpaceDN/>
        <w:bidi w:val="0"/>
        <w:adjustRightInd/>
        <w:snapToGrid/>
        <w:spacing w:after="0" w:line="360" w:lineRule="auto"/>
        <w:jc w:val="left"/>
        <w:textAlignment w:val="auto"/>
        <w:rPr>
          <w:sz w:val="24"/>
          <w:szCs w:val="24"/>
        </w:rPr>
      </w:pPr>
      <w:r>
        <w:rPr>
          <w:rFonts w:ascii="宋体" w:hAnsi="宋体" w:eastAsia="宋体" w:cs="宋体"/>
          <w:color w:val="000000"/>
          <w:sz w:val="24"/>
          <w:szCs w:val="24"/>
        </w:rPr>
        <w:t>1.草场门校区全校师生的日常门诊诊疗服务（不开展输液服务）。</w:t>
      </w:r>
    </w:p>
    <w:p w14:paraId="1A581DAB">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2.必要的校内出诊诊疗服务。</w:t>
      </w:r>
    </w:p>
    <w:p w14:paraId="62E9D76A">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3.师生突发疾病的抢救、应急处理和转诊服务。</w:t>
      </w:r>
    </w:p>
    <w:p w14:paraId="2C89F11A">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4.根据学校的实际情况和统筹安排，如学校通知承担新生入学体检工作。按照国家对高校学生体检的相关规定做好学生的体检工作，体检收费标准按政府公布的的标准执行。</w:t>
      </w:r>
    </w:p>
    <w:p w14:paraId="6C23DADA">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5.校园突发公共卫生事件、艾滋病、传染病等的预防和处理、登记、报告、宣传教育。</w:t>
      </w:r>
    </w:p>
    <w:p w14:paraId="0AF5287C">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6.重大活动时（如入学、军训、运动会、重要会议、重要考试、大学生体能测试及其他庆典活动等）医疗保障工作。</w:t>
      </w:r>
    </w:p>
    <w:p w14:paraId="29A4889B">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7.预防保健、健康常识和突发性事件的医疗应急处理，并提供疾病、保健、健康咨询等医疗服务。</w:t>
      </w:r>
    </w:p>
    <w:p w14:paraId="066FC1D2">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8.中标方负责人必须具备中级及以上相关专业职称，安排在卫生所工作的医务人员必须具有相应执业资格（药房工作人员要具有执业药师证），具有5年以上从医经历和丰富的临床经验，中标方安排的医务人员的工资报酬及劳保、保险等一切福利待遇，由中标方负责承担。</w:t>
      </w:r>
    </w:p>
    <w:p w14:paraId="71B8378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9.中标方提供全年24小时医疗服务（不包含输液），白天门诊确保2名医务人员（含1名医生）在岗，夜间和节假日保证有2名医务人员（含1名医生）值班，并保证有1名女性，人员配备满足正常诊疗要求。根据学校教学作息时间安排相应的服务时间。工作期间医务人员不得擅自离岗。</w:t>
      </w:r>
    </w:p>
    <w:p w14:paraId="0829D12C">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10.招标方提供房屋设立卫生所（包括医疗用房、值班用房），将卫生所按双方拟定的科室功能、房间布局无偿提供给中标方作为医疗服务场所（以下简称“卫生所”）。</w:t>
      </w:r>
    </w:p>
    <w:p w14:paraId="164D794D">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11.所有场地只能从事与校内医务保障相关的事情，中标方不得将卫生所作为其它用途或者从事医务活动外的其他活动，不得以任何名义转借、转让、分包给第三方，否则视为中标方违约，招标方有权解除本合同，并追究中标方的违约责任。</w:t>
      </w:r>
    </w:p>
    <w:p w14:paraId="682D1FC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12.招标方向中标方提供《医疗机构执业许可证》。合同期内，中标方应根据《医疗机构条例》《高等学校医疗保健机构工作流程》负责办理《医疗机构执业许可证》年审等相关手续，必要时招标方应协助出具相关证明资料。</w:t>
      </w:r>
    </w:p>
    <w:p w14:paraId="764A0D9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13.招标方负责提供除医疗设施设备以外的基本办公、值班设备和家具，安装空调、电话、网络（不含和医疗系统网络对接端口的费用）等生活设施，保证水电正常使用，水电费招标方承担。</w:t>
      </w:r>
    </w:p>
    <w:p w14:paraId="4B72F80A">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14.中标方根据高校医疗保健工作需要，配备符合国家有关技术标准的医疗设备（包括但不限于：血液分析仪、尿液分析仪、心电图机、氧气瓶等设备）和所需的医疗设施。保证常规诊断、治疗的正常开展。</w:t>
      </w:r>
    </w:p>
    <w:p w14:paraId="2EB665A5">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15.中标方投入的设施设备归中标方所有。合同期满后，中标方自行撤除投入的设备、设施。</w:t>
      </w:r>
    </w:p>
    <w:p w14:paraId="73705443">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16.按照合同约定及时提供符合要求的场地，及时完成场所的基本装修，及时提供必要办公、值班的设施设备，保证水电正常使用。</w:t>
      </w:r>
    </w:p>
    <w:p w14:paraId="34BF5F98">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17.向中标方提供卫生所所需的《医疗机构执业许可证》，协助中标方办理年审等相关事项。</w:t>
      </w:r>
    </w:p>
    <w:p w14:paraId="721D5C4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18.为中标方办理人员和车辆出入证、人员就餐饭卡等必要的手续。</w:t>
      </w:r>
    </w:p>
    <w:p w14:paraId="4805C704">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19.协助解决中标方在诊疗期间与师生的争议和纠纷。</w:t>
      </w:r>
    </w:p>
    <w:p w14:paraId="32C005AC">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20.按照合同约定和相关法律法规政策规定制定卫生所管理考核规定，并按规定对中标方进行监管。</w:t>
      </w:r>
    </w:p>
    <w:p w14:paraId="2D3227DA">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21.对中标方的医疗管理、医疗服务、医疗设备、药品质量、医疗收费等进行例行检查和日常考核，对违约违规行为进行追究。包括约谈中标方负责人，建议中标方任用领导和撤换不适合在校工作的医务人员。</w:t>
      </w:r>
    </w:p>
    <w:p w14:paraId="358532C3">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22.对中标方服务开展师生满意度测评，根据调查结果提出整改意见。如果整改不到位或服务态度恶劣</w:t>
      </w:r>
    </w:p>
    <w:p w14:paraId="4A6F2CA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，多次投诉，中标方应根据招标方要求及时更相关人员，保证服务质量。</w:t>
      </w:r>
    </w:p>
    <w:p w14:paraId="5CBEFD37">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23.中标方如出现医疗事故（由第三方专业机构鉴定）或因不服从学校监督管理而影响服务质量，师生反映严重时，招标方可单方解除合同。</w:t>
      </w:r>
    </w:p>
    <w:p w14:paraId="430F9842">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24.招标方在合同服务期内每年对中标方进行一次集中考核，考核不达标招标方有权单方解除合同。</w:t>
      </w:r>
    </w:p>
    <w:p w14:paraId="7476CD51">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25.师生就诊时，按南京市医保政策执行（医保范围外的自费药品，中标方开具处方时须提前告知，费用由就诊师生全额承担）。 处方量执行医保规定。</w:t>
      </w:r>
    </w:p>
    <w:p w14:paraId="1FDFEF84">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26.中标方在服务过程中，如调换医护人员需经招标方同意方可调整。</w:t>
      </w:r>
    </w:p>
    <w:p w14:paraId="5F201C63">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27.按照合同约定足额配备符合资质的医务人员。医生、护士等员工资料、信息应提供给招标方备案。按照劳动合同法等相关规定规范用工，所有用工费用或劳动合同争议与招标方无关。</w:t>
      </w:r>
    </w:p>
    <w:p w14:paraId="029034F9">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28.按照合同约定和相关规定足额配备常规医疗设备和抢救设施（产权归中标方所有）。确保配备的上述医疗设备符合国家相关卫生标准、质量标准。</w:t>
      </w:r>
    </w:p>
    <w:p w14:paraId="3C099B0B">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29.按照合同约定和国家对高等学校医疗保健的有关规定和卫生部门对医疗保健管理的相关要求，为招标方提供规范化的医疗卫生服务。主要负责常见病、多发病的诊断、治疗工作。开展常规治疗（不包含输液），开展血液、心电图等常规检查业务。对不能救治的急、重症病人应及时转诊，并通知招标方管理部门。</w:t>
      </w:r>
    </w:p>
    <w:p w14:paraId="06A3F27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30.负责大病就医的绿色通道和合作医疗机构的转接，危急重病人由医护人员陪同就诊，先行治疗，确保安全第一。</w:t>
      </w:r>
    </w:p>
    <w:p w14:paraId="0E64D1DD">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31.建立健全传染病的防控机制和突发公共卫生事件应急预案及时向学校通报传染病信息。负责学校传染病的初级预防、处理、宣传教育、登记、报告工作。</w:t>
      </w:r>
    </w:p>
    <w:p w14:paraId="30BC543D">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32.协助招标方做好饮食卫生、教学卫生、环境卫生、宿舍卫生等工作的指导和监督。</w:t>
      </w:r>
    </w:p>
    <w:p w14:paraId="15CA5A9A">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33.中标方保证所售药品质量符合国家标准，挂号费为每次1元，所售药品执行零差价，不得高于中标方本院药品价格。对常用药品和检查项目明码标价，挂墙公示。不得在卫生所销售禁用药品、伪劣药品以及与医疗无关的产品。</w:t>
      </w:r>
    </w:p>
    <w:p w14:paraId="0588E408">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34.协助学校做好健康教育、知识培训等学校公共卫生工作。积极为师生提供健康保健及心理卫生咨询、健康教育等良好的医疗保健措施。</w:t>
      </w:r>
    </w:p>
    <w:p w14:paraId="0AEA8BB7">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35.卫生所以中标方为独立责任人，不得以招标方名义与第三方签订任何合同（协议）。中标方应对医疗服务技术负责，自主经营与管理，自负盈亏。</w:t>
      </w:r>
    </w:p>
    <w:p w14:paraId="0F9E4A85">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36.中标方不得以任何理由转包他人，并自觉遵守招标方的有关规定，接受招标方监管。</w:t>
      </w:r>
    </w:p>
    <w:p w14:paraId="7555D175">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37.中标方应积极接受国家药检、卫生、物价、医保等有关职能部门的监督指导。</w:t>
      </w:r>
    </w:p>
    <w:p w14:paraId="60FCD1AF">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38.双方共同建立师生对卫生所医疗水平、服务、环境、收费等项目的满意度调查体系，中标方应根据师生意见和建议不断改进工作。</w:t>
      </w:r>
    </w:p>
    <w:p w14:paraId="4DB24D6B">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rFonts w:ascii="宋体" w:hAnsi="宋体" w:eastAsia="宋体" w:cs="宋体"/>
          <w:color w:val="000000"/>
          <w:sz w:val="24"/>
          <w:szCs w:val="24"/>
        </w:rPr>
      </w:pPr>
      <w:r>
        <w:rPr>
          <w:rFonts w:ascii="宋体" w:hAnsi="宋体" w:eastAsia="宋体" w:cs="宋体"/>
          <w:color w:val="000000"/>
          <w:sz w:val="24"/>
          <w:szCs w:val="24"/>
        </w:rPr>
        <w:t>39.中标方应建立完整的卫生所诊疗登记档案，所产生的记录、资料、数据属双方所有，中标方应归档保管，中标方不得拒绝招标方管理人员对其查询、检查和影印。合同期满相关档案资料移交招标方保存。</w:t>
      </w:r>
    </w:p>
    <w:p w14:paraId="72707F41">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rFonts w:ascii="宋体" w:hAnsi="宋体" w:eastAsia="宋体" w:cs="宋体"/>
          <w:color w:val="000000"/>
          <w:sz w:val="24"/>
          <w:szCs w:val="24"/>
        </w:rPr>
      </w:pPr>
      <w:r>
        <w:rPr>
          <w:rFonts w:ascii="宋体" w:hAnsi="宋体" w:eastAsia="宋体" w:cs="宋体"/>
          <w:color w:val="000000"/>
          <w:sz w:val="24"/>
          <w:szCs w:val="24"/>
        </w:rPr>
        <w:t>40.中标方应按卫生部门相关规范，负责对医疗垃圾、医疗废弃物的收集与处理工作。</w:t>
      </w:r>
    </w:p>
    <w:p w14:paraId="2C7583D9">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41.中标方根据高校医疗保健工作需要，配备符合国家有关技术标准的医疗设备（包括但不限于：血液分析仪、尿液分析仪、心电图机、氧气瓶等设备）和所需的医疗设施。保证常规诊断、治疗的正常开展。乙方投入的设施设备归乙方所有，合同期满后，乙方自行撤除投入的设备、设施。</w:t>
      </w:r>
    </w:p>
    <w:p w14:paraId="174E785C">
      <w:pPr>
        <w:pStyle w:val="191"/>
        <w:numPr>
          <w:ilvl w:val="0"/>
          <w:numId w:val="0"/>
        </w:numPr>
        <w:spacing w:before="271" w:line="360" w:lineRule="auto"/>
        <w:outlineLvl w:val="1"/>
        <w:rPr>
          <w:rFonts w:hint="eastAsia" w:ascii="宋体" w:hAnsi="宋体" w:eastAsia="宋体"/>
          <w:b/>
          <w:bCs/>
          <w:spacing w:val="6"/>
          <w:sz w:val="24"/>
          <w:szCs w:val="24"/>
        </w:rPr>
      </w:pPr>
      <w:r>
        <w:rPr>
          <w:rFonts w:hint="eastAsia" w:ascii="宋体" w:hAnsi="宋体" w:eastAsia="宋体"/>
          <w:b/>
          <w:bCs/>
          <w:spacing w:val="6"/>
          <w:sz w:val="24"/>
          <w:szCs w:val="24"/>
          <w:lang w:val="en-US" w:eastAsia="zh-CN"/>
        </w:rPr>
        <w:t>二、</w:t>
      </w:r>
      <w:r>
        <w:rPr>
          <w:rFonts w:hint="eastAsia" w:ascii="宋体" w:hAnsi="宋体" w:eastAsia="宋体"/>
          <w:b/>
          <w:bCs/>
          <w:spacing w:val="6"/>
          <w:sz w:val="24"/>
          <w:szCs w:val="24"/>
        </w:rPr>
        <w:t>验收标准</w:t>
      </w:r>
    </w:p>
    <w:p w14:paraId="4D74C94B">
      <w:pPr>
        <w:keepNext w:val="0"/>
        <w:keepLines w:val="0"/>
        <w:pageBreakBefore w:val="0"/>
        <w:widowControl w:val="0"/>
        <w:kinsoku/>
        <w:wordWrap w:val="0"/>
        <w:overflowPunct/>
        <w:topLinePunct w:val="0"/>
        <w:autoSpaceDE/>
        <w:autoSpaceDN/>
        <w:bidi w:val="0"/>
        <w:adjustRightInd/>
        <w:snapToGrid/>
        <w:spacing w:after="0" w:line="360" w:lineRule="auto"/>
        <w:jc w:val="left"/>
        <w:textAlignment w:val="auto"/>
        <w:rPr>
          <w:sz w:val="24"/>
          <w:szCs w:val="24"/>
        </w:rPr>
      </w:pPr>
      <w:r>
        <w:rPr>
          <w:rFonts w:ascii="宋体" w:hAnsi="宋体" w:eastAsia="宋体" w:cs="宋体"/>
          <w:color w:val="000000"/>
          <w:sz w:val="24"/>
          <w:szCs w:val="24"/>
        </w:rPr>
        <w:t>1.安排在医务室工作的医务人员必须具有相应执业资格，职称、年限符合要求，人数满足日常工作要求。</w:t>
      </w:r>
    </w:p>
    <w:p w14:paraId="28CBBFF2">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rPr>
          <w:sz w:val="24"/>
          <w:szCs w:val="24"/>
        </w:rPr>
      </w:pPr>
      <w:r>
        <w:rPr>
          <w:rFonts w:ascii="宋体" w:hAnsi="宋体" w:eastAsia="宋体" w:cs="宋体"/>
          <w:color w:val="000000"/>
          <w:sz w:val="24"/>
          <w:szCs w:val="24"/>
        </w:rPr>
        <w:t>2.根据高校医疗保健工作需要，配备符合国家有关技术标准的医疗设备，如血液分析仪、尿液分析仪、心电图机、氧气瓶等设备，保障日常医疗服务的正常开展。</w:t>
      </w:r>
    </w:p>
    <w:p w14:paraId="6EC1FFF3">
      <w:pPr>
        <w:keepNext w:val="0"/>
        <w:keepLines w:val="0"/>
        <w:pageBreakBefore w:val="0"/>
        <w:widowControl w:val="0"/>
        <w:kinsoku/>
        <w:wordWrap w:val="0"/>
        <w:overflowPunct/>
        <w:topLinePunct w:val="0"/>
        <w:autoSpaceDE/>
        <w:autoSpaceDN/>
        <w:bidi w:val="0"/>
        <w:adjustRightInd/>
        <w:snapToGrid/>
        <w:spacing w:before="0" w:after="0" w:line="360" w:lineRule="auto"/>
        <w:jc w:val="left"/>
        <w:textAlignment w:val="auto"/>
      </w:pPr>
      <w:r>
        <w:rPr>
          <w:rFonts w:ascii="宋体" w:hAnsi="宋体" w:eastAsia="宋体" w:cs="宋体"/>
          <w:color w:val="000000"/>
          <w:sz w:val="24"/>
          <w:szCs w:val="24"/>
        </w:rPr>
        <w:t>3.校医务室所售药品质量符合国家标准，所售药品执行零差价，不得高于乙方本医院价格。诊疗费按国家规定收取，各项医疗收费、药品价格及管理制度明示上墙。</w:t>
      </w:r>
    </w:p>
    <w:p w14:paraId="62A62163">
      <w:pPr>
        <w:pStyle w:val="191"/>
        <w:numPr>
          <w:ilvl w:val="0"/>
          <w:numId w:val="0"/>
        </w:numPr>
        <w:spacing w:before="271" w:line="360" w:lineRule="auto"/>
        <w:outlineLvl w:val="1"/>
        <w:rPr>
          <w:rFonts w:hint="eastAsia" w:ascii="宋体" w:hAnsi="宋体" w:eastAsia="宋体"/>
          <w:b/>
          <w:bCs/>
          <w:spacing w:val="6"/>
          <w:sz w:val="24"/>
          <w:szCs w:val="24"/>
          <w:lang w:val="en-US" w:eastAsia="zh-CN"/>
        </w:rPr>
      </w:pPr>
      <w:r>
        <w:rPr>
          <w:rFonts w:hint="eastAsia" w:ascii="宋体" w:hAnsi="宋体" w:eastAsia="宋体"/>
          <w:b/>
          <w:bCs/>
          <w:spacing w:val="6"/>
          <w:sz w:val="24"/>
          <w:szCs w:val="24"/>
          <w:lang w:val="en-US" w:eastAsia="zh-CN"/>
        </w:rPr>
        <w:t>三、付款方式</w:t>
      </w:r>
    </w:p>
    <w:p w14:paraId="4D763108">
      <w:pPr>
        <w:keepNext w:val="0"/>
        <w:keepLines w:val="0"/>
        <w:pageBreakBefore w:val="0"/>
        <w:widowControl w:val="0"/>
        <w:kinsoku/>
        <w:wordWrap w:val="0"/>
        <w:overflowPunct/>
        <w:topLinePunct w:val="0"/>
        <w:autoSpaceDE/>
        <w:autoSpaceDN/>
        <w:bidi w:val="0"/>
        <w:adjustRightInd/>
        <w:snapToGrid/>
        <w:spacing w:after="0" w:line="360" w:lineRule="auto"/>
        <w:ind w:firstLineChars="200"/>
        <w:jc w:val="left"/>
        <w:textAlignment w:val="auto"/>
        <w:rPr>
          <w:sz w:val="24"/>
          <w:szCs w:val="24"/>
        </w:rPr>
      </w:pPr>
      <w:r>
        <w:rPr>
          <w:rFonts w:ascii="宋体" w:hAnsi="宋体" w:eastAsia="宋体" w:cs="宋体"/>
          <w:color w:val="000000"/>
          <w:sz w:val="24"/>
          <w:szCs w:val="24"/>
        </w:rPr>
        <w:t>托管服务费每年分2次支付（每半年学校支付一次），为后付费制，前五次在每服务半年后，乙方开具发票后10个工作日内支付，最后一次于项目结束、完成交接后，验收合格后，经甲方审计处审计无误后，乙方开具发票后10个工作日内支付，最后一次付款因服务不足半年，按实际服务月份核算后支付相应托管服务费。</w:t>
      </w:r>
    </w:p>
    <w:p w14:paraId="02440818">
      <w:pPr>
        <w:keepNext w:val="0"/>
        <w:keepLines w:val="0"/>
        <w:pageBreakBefore w:val="0"/>
        <w:widowControl w:val="0"/>
        <w:kinsoku/>
        <w:overflowPunct/>
        <w:topLinePunct w:val="0"/>
        <w:autoSpaceDE/>
        <w:autoSpaceDN/>
        <w:bidi w:val="0"/>
        <w:adjustRightInd/>
        <w:snapToGrid/>
        <w:spacing w:before="0" w:after="0" w:line="360" w:lineRule="auto"/>
        <w:textAlignment w:val="auto"/>
        <w:rPr>
          <w:sz w:val="24"/>
          <w:szCs w:val="24"/>
        </w:rPr>
      </w:pPr>
    </w:p>
    <w:p w14:paraId="28757BCC">
      <w:pPr>
        <w:spacing w:line="360" w:lineRule="auto"/>
        <w:ind w:firstLine="480"/>
        <w:rPr>
          <w:rFonts w:hint="eastAsia" w:ascii="宋体" w:hAnsi="宋体" w:eastAsia="宋体" w:cs="Times New Roman"/>
          <w:bCs/>
          <w:sz w:val="24"/>
          <w:szCs w:val="24"/>
          <w:lang w:val="en-US" w:eastAsia="zh-CN"/>
        </w:rPr>
      </w:pPr>
    </w:p>
    <w:p w14:paraId="200C38CE">
      <w:pPr>
        <w:pStyle w:val="211"/>
        <w:widowControl w:val="0"/>
        <w:tabs>
          <w:tab w:val="left" w:pos="525"/>
          <w:tab w:val="left" w:pos="1050"/>
        </w:tabs>
        <w:spacing w:before="0" w:beforeAutospacing="0" w:after="0" w:afterAutospacing="0" w:line="336" w:lineRule="auto"/>
        <w:contextualSpacing/>
        <w:jc w:val="both"/>
      </w:pPr>
    </w:p>
    <w:p w14:paraId="31DCDE27">
      <w:pPr>
        <w:rPr>
          <w:rFonts w:ascii="Arial" w:hAnsi="Arial" w:eastAsia="黑体" w:cs="Arial"/>
          <w:sz w:val="32"/>
        </w:rPr>
      </w:pPr>
      <w:r>
        <w:rPr>
          <w:rFonts w:ascii="Arial" w:hAnsi="Arial" w:eastAsia="黑体" w:cs="Arial"/>
          <w:sz w:val="32"/>
        </w:rPr>
        <w:br w:type="page"/>
      </w:r>
    </w:p>
    <w:p w14:paraId="0A036B21">
      <w:pPr>
        <w:pStyle w:val="185"/>
        <w:spacing w:before="120" w:after="100" w:afterAutospacing="1" w:line="240" w:lineRule="auto"/>
        <w:jc w:val="center"/>
        <w:rPr>
          <w:rFonts w:ascii="宋体" w:hAnsi="宋体" w:cs="宋体"/>
          <w:sz w:val="24"/>
        </w:rPr>
      </w:pPr>
      <w:bookmarkStart w:id="104" w:name="_Toc12809"/>
      <w:r>
        <w:rPr>
          <w:rFonts w:ascii="Arial" w:hAnsi="Arial" w:eastAsia="黑体" w:cs="Arial"/>
          <w:sz w:val="32"/>
        </w:rPr>
        <w:t>第</w:t>
      </w:r>
      <w:r>
        <w:rPr>
          <w:rFonts w:hint="eastAsia" w:ascii="Arial" w:hAnsi="Arial" w:eastAsia="黑体" w:cs="Arial"/>
          <w:sz w:val="32"/>
        </w:rPr>
        <w:t>四</w:t>
      </w:r>
      <w:r>
        <w:rPr>
          <w:rFonts w:ascii="Arial" w:hAnsi="Arial" w:eastAsia="黑体" w:cs="Arial"/>
          <w:sz w:val="32"/>
        </w:rPr>
        <w:t>章 评标方法、评分标准</w:t>
      </w:r>
      <w:bookmarkEnd w:id="103"/>
      <w:bookmarkEnd w:id="104"/>
    </w:p>
    <w:p w14:paraId="37523E5A">
      <w:pPr>
        <w:spacing w:line="360" w:lineRule="auto"/>
        <w:jc w:val="left"/>
        <w:outlineLvl w:val="1"/>
        <w:rPr>
          <w:rFonts w:ascii="宋体" w:hAnsi="宋体" w:eastAsia="宋体" w:cs="Times New Roman"/>
          <w:b/>
          <w:bCs/>
          <w:sz w:val="24"/>
        </w:rPr>
      </w:pPr>
      <w:r>
        <w:rPr>
          <w:rFonts w:hint="eastAsia" w:ascii="宋体" w:hAnsi="宋体" w:eastAsia="宋体" w:cs="Times New Roman"/>
          <w:b/>
          <w:bCs/>
          <w:sz w:val="24"/>
        </w:rPr>
        <w:t>一、评标方法</w:t>
      </w:r>
    </w:p>
    <w:p w14:paraId="68B29616">
      <w:pPr>
        <w:spacing w:line="360" w:lineRule="auto"/>
        <w:ind w:firstLine="470"/>
        <w:rPr>
          <w:rFonts w:hint="eastAsia" w:ascii="宋体" w:hAnsi="宋体"/>
          <w:sz w:val="24"/>
          <w:szCs w:val="24"/>
        </w:rPr>
      </w:pPr>
      <w:r>
        <w:rPr>
          <w:rFonts w:ascii="宋体" w:hAnsi="宋体"/>
          <w:sz w:val="24"/>
          <w:szCs w:val="24"/>
        </w:rPr>
        <w:t>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确定</w:t>
      </w:r>
      <w:r>
        <w:rPr>
          <w:rFonts w:hint="eastAsia" w:ascii="宋体" w:hAnsi="宋体"/>
          <w:sz w:val="24"/>
          <w:szCs w:val="24"/>
        </w:rPr>
        <w:t>排序第一的供应商为中标候选人</w:t>
      </w:r>
      <w:r>
        <w:rPr>
          <w:rFonts w:ascii="宋体" w:hAnsi="宋体"/>
          <w:sz w:val="24"/>
          <w:szCs w:val="24"/>
        </w:rPr>
        <w:t>。得分相同的，按投标报价由低到高顺序排列。得分且投标报价相同的，按技术指标优劣顺序排列。</w:t>
      </w:r>
    </w:p>
    <w:p w14:paraId="06C18C98">
      <w:pPr>
        <w:spacing w:line="360" w:lineRule="auto"/>
        <w:jc w:val="left"/>
        <w:outlineLvl w:val="1"/>
        <w:rPr>
          <w:rFonts w:ascii="宋体" w:hAnsi="宋体"/>
          <w:b/>
          <w:bCs/>
          <w:sz w:val="24"/>
        </w:rPr>
      </w:pPr>
      <w:r>
        <w:rPr>
          <w:rFonts w:ascii="宋体" w:hAnsi="宋体"/>
          <w:b/>
          <w:bCs/>
          <w:sz w:val="24"/>
        </w:rPr>
        <w:t>二、评分标准</w:t>
      </w:r>
    </w:p>
    <w:tbl>
      <w:tblPr>
        <w:tblStyle w:val="31"/>
        <w:tblW w:w="8951"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 w:type="dxa"/>
          <w:bottom w:w="0" w:type="dxa"/>
          <w:right w:w="10" w:type="dxa"/>
        </w:tblCellMar>
      </w:tblPr>
      <w:tblGrid>
        <w:gridCol w:w="614"/>
        <w:gridCol w:w="324"/>
        <w:gridCol w:w="8013"/>
      </w:tblGrid>
      <w:tr w14:paraId="5354944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0" w:hRule="atLeast"/>
          <w:tblHeader/>
          <w:jc w:val="center"/>
        </w:trPr>
        <w:tc>
          <w:tcPr>
            <w:tcW w:w="0" w:type="auto"/>
            <w:tcBorders>
              <w:tl2br w:val="nil"/>
              <w:tr2bl w:val="nil"/>
            </w:tcBorders>
            <w:tcMar>
              <w:top w:w="20" w:type="dxa"/>
              <w:left w:w="20" w:type="dxa"/>
              <w:bottom w:w="20" w:type="dxa"/>
              <w:right w:w="20" w:type="dxa"/>
            </w:tcMar>
            <w:vAlign w:val="center"/>
          </w:tcPr>
          <w:p w14:paraId="361457EB">
            <w:pPr>
              <w:wordWrap w:val="0"/>
              <w:snapToGrid w:val="0"/>
              <w:spacing w:after="0" w:line="315" w:lineRule="exact"/>
              <w:jc w:val="center"/>
            </w:pPr>
            <w:r>
              <w:rPr>
                <w:rFonts w:ascii="宋体" w:hAnsi="宋体" w:eastAsia="宋体" w:cs="宋体"/>
                <w:b/>
                <w:color w:val="000000"/>
                <w:sz w:val="21"/>
              </w:rPr>
              <w:t>评分因素</w:t>
            </w:r>
          </w:p>
        </w:tc>
        <w:tc>
          <w:tcPr>
            <w:tcW w:w="0" w:type="auto"/>
            <w:tcBorders>
              <w:tl2br w:val="nil"/>
              <w:tr2bl w:val="nil"/>
            </w:tcBorders>
            <w:tcMar>
              <w:top w:w="20" w:type="dxa"/>
              <w:left w:w="20" w:type="dxa"/>
              <w:bottom w:w="20" w:type="dxa"/>
              <w:right w:w="20" w:type="dxa"/>
            </w:tcMar>
            <w:vAlign w:val="center"/>
          </w:tcPr>
          <w:p w14:paraId="4301F22B">
            <w:pPr>
              <w:wordWrap w:val="0"/>
              <w:snapToGrid w:val="0"/>
              <w:spacing w:after="0" w:line="315" w:lineRule="exact"/>
              <w:jc w:val="center"/>
            </w:pPr>
            <w:r>
              <w:rPr>
                <w:rFonts w:ascii="宋体" w:hAnsi="宋体" w:eastAsia="宋体" w:cs="宋体"/>
                <w:b/>
                <w:color w:val="000000"/>
                <w:sz w:val="21"/>
              </w:rPr>
              <w:t>分值</w:t>
            </w:r>
          </w:p>
        </w:tc>
        <w:tc>
          <w:tcPr>
            <w:tcW w:w="0" w:type="auto"/>
            <w:tcBorders>
              <w:tl2br w:val="nil"/>
              <w:tr2bl w:val="nil"/>
            </w:tcBorders>
            <w:tcMar>
              <w:top w:w="20" w:type="dxa"/>
              <w:left w:w="20" w:type="dxa"/>
              <w:bottom w:w="20" w:type="dxa"/>
              <w:right w:w="20" w:type="dxa"/>
            </w:tcMar>
            <w:vAlign w:val="center"/>
          </w:tcPr>
          <w:p w14:paraId="51810696">
            <w:pPr>
              <w:wordWrap w:val="0"/>
              <w:snapToGrid w:val="0"/>
              <w:spacing w:after="0" w:line="315" w:lineRule="exact"/>
              <w:jc w:val="center"/>
            </w:pPr>
            <w:r>
              <w:rPr>
                <w:rFonts w:ascii="宋体" w:hAnsi="宋体" w:eastAsia="宋体" w:cs="宋体"/>
                <w:b/>
                <w:color w:val="000000"/>
                <w:sz w:val="21"/>
              </w:rPr>
              <w:t>评分标准</w:t>
            </w:r>
          </w:p>
        </w:tc>
      </w:tr>
      <w:tr w14:paraId="3469644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0" w:hRule="atLeast"/>
          <w:jc w:val="center"/>
        </w:trPr>
        <w:tc>
          <w:tcPr>
            <w:tcW w:w="0" w:type="auto"/>
            <w:tcBorders>
              <w:tl2br w:val="nil"/>
              <w:tr2bl w:val="nil"/>
            </w:tcBorders>
            <w:tcMar>
              <w:top w:w="20" w:type="dxa"/>
              <w:left w:w="20" w:type="dxa"/>
              <w:bottom w:w="20" w:type="dxa"/>
              <w:right w:w="20" w:type="dxa"/>
            </w:tcMar>
            <w:vAlign w:val="center"/>
          </w:tcPr>
          <w:p w14:paraId="5A0ECF73">
            <w:pPr>
              <w:wordWrap w:val="0"/>
              <w:snapToGrid w:val="0"/>
              <w:spacing w:after="0" w:line="315" w:lineRule="exact"/>
              <w:jc w:val="center"/>
            </w:pPr>
            <w:r>
              <w:rPr>
                <w:rFonts w:ascii="宋体" w:hAnsi="宋体" w:eastAsia="宋体" w:cs="宋体"/>
                <w:color w:val="000000"/>
                <w:sz w:val="21"/>
              </w:rPr>
              <w:t>投标报价</w:t>
            </w:r>
          </w:p>
        </w:tc>
        <w:tc>
          <w:tcPr>
            <w:tcW w:w="0" w:type="auto"/>
            <w:tcBorders>
              <w:tl2br w:val="nil"/>
              <w:tr2bl w:val="nil"/>
            </w:tcBorders>
            <w:tcMar>
              <w:top w:w="20" w:type="dxa"/>
              <w:left w:w="20" w:type="dxa"/>
              <w:bottom w:w="20" w:type="dxa"/>
              <w:right w:w="20" w:type="dxa"/>
            </w:tcMar>
            <w:vAlign w:val="center"/>
          </w:tcPr>
          <w:p w14:paraId="3D43F8D5">
            <w:pPr>
              <w:wordWrap w:val="0"/>
              <w:snapToGrid w:val="0"/>
              <w:jc w:val="center"/>
            </w:pPr>
            <w:r>
              <w:rPr>
                <w:rFonts w:ascii="宋体" w:hAnsi="宋体" w:eastAsia="宋体" w:cs="宋体"/>
                <w:color w:val="000000"/>
                <w:sz w:val="21"/>
              </w:rPr>
              <w:t>40</w:t>
            </w:r>
          </w:p>
        </w:tc>
        <w:tc>
          <w:tcPr>
            <w:tcW w:w="0" w:type="auto"/>
            <w:tcBorders>
              <w:tl2br w:val="nil"/>
              <w:tr2bl w:val="nil"/>
            </w:tcBorders>
            <w:tcMar>
              <w:top w:w="20" w:type="dxa"/>
              <w:left w:w="20" w:type="dxa"/>
              <w:bottom w:w="20" w:type="dxa"/>
              <w:right w:w="20" w:type="dxa"/>
            </w:tcMar>
            <w:vAlign w:val="top"/>
          </w:tcPr>
          <w:p w14:paraId="650B9521">
            <w:pPr>
              <w:wordWrap w:val="0"/>
              <w:snapToGrid w:val="0"/>
              <w:spacing w:after="0" w:line="315" w:lineRule="exact"/>
              <w:jc w:val="left"/>
            </w:pPr>
            <w:r>
              <w:rPr>
                <w:rFonts w:ascii="宋体" w:hAnsi="宋体" w:eastAsia="宋体" w:cs="宋体"/>
                <w:b/>
                <w:color w:val="000000"/>
                <w:sz w:val="21"/>
              </w:rPr>
              <w:t>投标最低报价为评标基准价</w:t>
            </w:r>
            <w:r>
              <w:rPr>
                <w:rFonts w:ascii="宋体" w:hAnsi="宋体" w:eastAsia="宋体" w:cs="宋体"/>
                <w:color w:val="000000"/>
                <w:sz w:val="21"/>
              </w:rPr>
              <w:t>：满足招标文件要求且投标价格最低的投标报价为评标基准价，其价格分为满分。其他投标人的价格分统一按照下列公式计算：投标报价得分=(评标基准价/投标报价)×40。</w:t>
            </w:r>
          </w:p>
        </w:tc>
      </w:tr>
      <w:tr w14:paraId="15C4037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0" w:hRule="atLeast"/>
          <w:jc w:val="center"/>
        </w:trPr>
        <w:tc>
          <w:tcPr>
            <w:tcW w:w="0" w:type="auto"/>
            <w:tcBorders>
              <w:tl2br w:val="nil"/>
              <w:tr2bl w:val="nil"/>
            </w:tcBorders>
            <w:tcMar>
              <w:top w:w="20" w:type="dxa"/>
              <w:left w:w="20" w:type="dxa"/>
              <w:bottom w:w="20" w:type="dxa"/>
              <w:right w:w="20" w:type="dxa"/>
            </w:tcMar>
            <w:vAlign w:val="center"/>
          </w:tcPr>
          <w:p w14:paraId="753F9E1A">
            <w:pPr>
              <w:wordWrap w:val="0"/>
              <w:snapToGrid w:val="0"/>
              <w:spacing w:after="0" w:line="315" w:lineRule="exact"/>
              <w:jc w:val="center"/>
            </w:pPr>
            <w:r>
              <w:rPr>
                <w:rFonts w:ascii="宋体" w:hAnsi="宋体" w:eastAsia="宋体" w:cs="宋体"/>
                <w:color w:val="000000"/>
                <w:sz w:val="21"/>
              </w:rPr>
              <w:t>组织管理方案</w:t>
            </w:r>
          </w:p>
        </w:tc>
        <w:tc>
          <w:tcPr>
            <w:tcW w:w="0" w:type="auto"/>
            <w:tcBorders>
              <w:tl2br w:val="nil"/>
              <w:tr2bl w:val="nil"/>
            </w:tcBorders>
            <w:tcMar>
              <w:top w:w="20" w:type="dxa"/>
              <w:left w:w="20" w:type="dxa"/>
              <w:bottom w:w="20" w:type="dxa"/>
              <w:right w:w="20" w:type="dxa"/>
            </w:tcMar>
            <w:vAlign w:val="center"/>
          </w:tcPr>
          <w:p w14:paraId="09452401">
            <w:pPr>
              <w:wordWrap w:val="0"/>
              <w:snapToGrid w:val="0"/>
              <w:jc w:val="center"/>
            </w:pPr>
            <w:r>
              <w:rPr>
                <w:rFonts w:ascii="宋体" w:hAnsi="宋体" w:eastAsia="宋体" w:cs="宋体"/>
                <w:color w:val="000000"/>
                <w:sz w:val="21"/>
              </w:rPr>
              <w:t>25</w:t>
            </w:r>
          </w:p>
        </w:tc>
        <w:tc>
          <w:tcPr>
            <w:tcW w:w="0" w:type="auto"/>
            <w:tcBorders>
              <w:tl2br w:val="nil"/>
              <w:tr2bl w:val="nil"/>
            </w:tcBorders>
            <w:tcMar>
              <w:top w:w="20" w:type="dxa"/>
              <w:left w:w="20" w:type="dxa"/>
              <w:bottom w:w="20" w:type="dxa"/>
              <w:right w:w="20" w:type="dxa"/>
            </w:tcMar>
            <w:vAlign w:val="top"/>
          </w:tcPr>
          <w:p w14:paraId="34613E92">
            <w:pPr>
              <w:wordWrap w:val="0"/>
              <w:snapToGrid w:val="0"/>
              <w:spacing w:after="0" w:line="315" w:lineRule="exact"/>
              <w:jc w:val="left"/>
            </w:pPr>
            <w:r>
              <w:rPr>
                <w:rFonts w:ascii="宋体" w:hAnsi="宋体" w:eastAsia="宋体" w:cs="宋体"/>
                <w:color w:val="000000"/>
                <w:sz w:val="21"/>
              </w:rPr>
              <w:t>有详细、具体的服务计划，服务承诺，且符合服务对象和招标方的整体需求。项目总体服务目标、价格标准、实施方法及质量保障方案完善，服务工作安排合理有效，服务模式与方法具有可操作性和创新性的得5分；</w:t>
            </w:r>
          </w:p>
          <w:p w14:paraId="6DD0AE4D">
            <w:pPr>
              <w:wordWrap w:val="0"/>
              <w:snapToGrid w:val="0"/>
              <w:spacing w:before="0" w:after="0" w:line="315" w:lineRule="exact"/>
              <w:jc w:val="left"/>
            </w:pPr>
            <w:r>
              <w:rPr>
                <w:rFonts w:ascii="宋体" w:hAnsi="宋体" w:eastAsia="宋体" w:cs="宋体"/>
                <w:color w:val="000000"/>
                <w:sz w:val="21"/>
              </w:rPr>
              <w:t>项目总体服务目标、价格标准、实施方法及质量保障方案较完善，服务工作安排较合理，服务模式与方法具有一定可操作性的得3分；</w:t>
            </w:r>
          </w:p>
          <w:p w14:paraId="50BBF572">
            <w:pPr>
              <w:wordWrap w:val="0"/>
              <w:snapToGrid w:val="0"/>
              <w:spacing w:before="0" w:after="0" w:line="315" w:lineRule="exact"/>
              <w:jc w:val="left"/>
            </w:pPr>
            <w:r>
              <w:rPr>
                <w:rFonts w:ascii="宋体" w:hAnsi="宋体" w:eastAsia="宋体" w:cs="宋体"/>
                <w:color w:val="000000"/>
                <w:sz w:val="21"/>
              </w:rPr>
              <w:t>项目总体服务目标、价格标准、实施方法及质量保障方案简单，服务工作安排不够合理，服务模式与方法可操作性不足的得 1分；</w:t>
            </w:r>
          </w:p>
          <w:p w14:paraId="7FFF360C">
            <w:pPr>
              <w:wordWrap w:val="0"/>
              <w:snapToGrid w:val="0"/>
              <w:spacing w:before="0" w:after="0" w:line="315" w:lineRule="exact"/>
              <w:jc w:val="left"/>
            </w:pPr>
            <w:r>
              <w:rPr>
                <w:rFonts w:ascii="宋体" w:hAnsi="宋体" w:eastAsia="宋体" w:cs="宋体"/>
                <w:color w:val="000000"/>
                <w:sz w:val="21"/>
              </w:rPr>
              <w:t>其他情况不得分。</w:t>
            </w:r>
          </w:p>
          <w:p w14:paraId="2395E70C">
            <w:pPr>
              <w:wordWrap w:val="0"/>
              <w:snapToGrid w:val="0"/>
              <w:spacing w:before="0" w:after="0" w:line="315" w:lineRule="exact"/>
              <w:jc w:val="left"/>
            </w:pPr>
            <w:r>
              <w:rPr>
                <w:rFonts w:ascii="宋体" w:hAnsi="宋体" w:eastAsia="宋体" w:cs="宋体"/>
                <w:color w:val="000000"/>
                <w:sz w:val="21"/>
              </w:rPr>
              <w:t>内部管理制度（含人员管理制度、服务制度）及应急管理制度完善，对医务室可能出现的各类紧急情况有明确的应急管理协调方法的得5分；</w:t>
            </w:r>
          </w:p>
          <w:p w14:paraId="75A7634A">
            <w:pPr>
              <w:wordWrap w:val="0"/>
              <w:snapToGrid w:val="0"/>
              <w:spacing w:before="0" w:after="0" w:line="315" w:lineRule="exact"/>
              <w:jc w:val="left"/>
            </w:pPr>
            <w:r>
              <w:rPr>
                <w:rFonts w:ascii="宋体" w:hAnsi="宋体" w:eastAsia="宋体" w:cs="宋体"/>
                <w:color w:val="000000"/>
                <w:sz w:val="21"/>
              </w:rPr>
              <w:t>内部管理制度及应急管理制度较完善，对医务室主要紧急情况有相应的应急管理协调方法的得3分；</w:t>
            </w:r>
          </w:p>
          <w:p w14:paraId="4B70D38B">
            <w:pPr>
              <w:wordWrap w:val="0"/>
              <w:snapToGrid w:val="0"/>
              <w:spacing w:before="0" w:after="0" w:line="315" w:lineRule="exact"/>
              <w:jc w:val="left"/>
            </w:pPr>
            <w:r>
              <w:rPr>
                <w:rFonts w:ascii="宋体" w:hAnsi="宋体" w:eastAsia="宋体" w:cs="宋体"/>
                <w:color w:val="000000"/>
                <w:sz w:val="21"/>
              </w:rPr>
              <w:t>内部管理制度及应急管理制度不够完善，应急管理协调方法欠缺的得1分；</w:t>
            </w:r>
          </w:p>
          <w:p w14:paraId="38795446">
            <w:pPr>
              <w:wordWrap w:val="0"/>
              <w:snapToGrid w:val="0"/>
              <w:spacing w:before="0" w:after="0" w:line="315" w:lineRule="exact"/>
              <w:jc w:val="left"/>
            </w:pPr>
            <w:r>
              <w:rPr>
                <w:rFonts w:ascii="宋体" w:hAnsi="宋体" w:eastAsia="宋体" w:cs="宋体"/>
                <w:color w:val="000000"/>
                <w:sz w:val="21"/>
              </w:rPr>
              <w:t xml:space="preserve">其他情况不得分。 </w:t>
            </w:r>
          </w:p>
          <w:p w14:paraId="6B3FB3E3">
            <w:pPr>
              <w:wordWrap w:val="0"/>
              <w:snapToGrid w:val="0"/>
              <w:spacing w:before="0" w:after="0" w:line="315" w:lineRule="exact"/>
              <w:jc w:val="left"/>
            </w:pPr>
            <w:r>
              <w:rPr>
                <w:rFonts w:ascii="宋体" w:hAnsi="宋体" w:eastAsia="宋体" w:cs="宋体"/>
                <w:color w:val="000000"/>
                <w:sz w:val="21"/>
              </w:rPr>
              <w:t>内部考核机制详细具体，建立完善的医疗质量、服务质量考核制度，能有效规范合理用药和服务行为、提升医疗服务满意度的得15分；</w:t>
            </w:r>
          </w:p>
          <w:p w14:paraId="4C352A38">
            <w:pPr>
              <w:wordWrap w:val="0"/>
              <w:snapToGrid w:val="0"/>
              <w:spacing w:before="0" w:after="0" w:line="315" w:lineRule="exact"/>
              <w:jc w:val="left"/>
            </w:pPr>
            <w:r>
              <w:rPr>
                <w:rFonts w:ascii="宋体" w:hAnsi="宋体" w:eastAsia="宋体" w:cs="宋体"/>
                <w:color w:val="000000"/>
                <w:sz w:val="21"/>
              </w:rPr>
              <w:t>内部考核机制较详细具体，建立较完善的医疗质量、服务质量考核制度，能较好规范医疗服务行为的得10分；</w:t>
            </w:r>
          </w:p>
          <w:p w14:paraId="164788B1">
            <w:pPr>
              <w:wordWrap w:val="0"/>
              <w:snapToGrid w:val="0"/>
              <w:spacing w:before="0" w:after="0" w:line="315" w:lineRule="exact"/>
              <w:jc w:val="left"/>
            </w:pPr>
            <w:r>
              <w:rPr>
                <w:rFonts w:ascii="宋体" w:hAnsi="宋体" w:eastAsia="宋体" w:cs="宋体"/>
                <w:color w:val="000000"/>
                <w:sz w:val="21"/>
              </w:rPr>
              <w:t>内部考核机制简单，医疗质量、服务质量考核制度不够完善的得5分；</w:t>
            </w:r>
          </w:p>
          <w:p w14:paraId="70C2F258">
            <w:pPr>
              <w:wordWrap w:val="0"/>
              <w:snapToGrid w:val="0"/>
              <w:spacing w:before="0" w:after="0" w:line="315" w:lineRule="exact"/>
              <w:jc w:val="left"/>
            </w:pPr>
            <w:r>
              <w:rPr>
                <w:rFonts w:ascii="宋体" w:hAnsi="宋体" w:eastAsia="宋体" w:cs="宋体"/>
                <w:color w:val="000000"/>
                <w:sz w:val="21"/>
              </w:rPr>
              <w:t>其他情况不得分。</w:t>
            </w:r>
          </w:p>
        </w:tc>
      </w:tr>
      <w:tr w14:paraId="6954930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0" w:hRule="atLeast"/>
          <w:jc w:val="center"/>
        </w:trPr>
        <w:tc>
          <w:tcPr>
            <w:tcW w:w="0" w:type="auto"/>
            <w:tcBorders>
              <w:tl2br w:val="nil"/>
              <w:tr2bl w:val="nil"/>
            </w:tcBorders>
            <w:tcMar>
              <w:top w:w="20" w:type="dxa"/>
              <w:left w:w="20" w:type="dxa"/>
              <w:bottom w:w="20" w:type="dxa"/>
              <w:right w:w="20" w:type="dxa"/>
            </w:tcMar>
            <w:vAlign w:val="center"/>
          </w:tcPr>
          <w:p w14:paraId="1836BB8C">
            <w:pPr>
              <w:wordWrap w:val="0"/>
              <w:snapToGrid w:val="0"/>
              <w:spacing w:after="0" w:line="315" w:lineRule="exact"/>
              <w:jc w:val="center"/>
            </w:pPr>
            <w:r>
              <w:rPr>
                <w:rFonts w:ascii="宋体" w:hAnsi="宋体" w:eastAsia="宋体" w:cs="宋体"/>
                <w:color w:val="000000"/>
                <w:sz w:val="21"/>
              </w:rPr>
              <w:t>企业实力</w:t>
            </w:r>
          </w:p>
        </w:tc>
        <w:tc>
          <w:tcPr>
            <w:tcW w:w="0" w:type="auto"/>
            <w:tcBorders>
              <w:tl2br w:val="nil"/>
              <w:tr2bl w:val="nil"/>
            </w:tcBorders>
            <w:tcMar>
              <w:top w:w="20" w:type="dxa"/>
              <w:left w:w="20" w:type="dxa"/>
              <w:bottom w:w="20" w:type="dxa"/>
              <w:right w:w="20" w:type="dxa"/>
            </w:tcMar>
            <w:vAlign w:val="center"/>
          </w:tcPr>
          <w:p w14:paraId="721A8786">
            <w:pPr>
              <w:wordWrap w:val="0"/>
              <w:snapToGrid w:val="0"/>
              <w:jc w:val="center"/>
            </w:pPr>
            <w:r>
              <w:rPr>
                <w:rFonts w:ascii="宋体" w:hAnsi="宋体" w:eastAsia="宋体" w:cs="宋体"/>
                <w:color w:val="000000"/>
                <w:sz w:val="21"/>
              </w:rPr>
              <w:t>25</w:t>
            </w:r>
          </w:p>
        </w:tc>
        <w:tc>
          <w:tcPr>
            <w:tcW w:w="0" w:type="auto"/>
            <w:tcBorders>
              <w:tl2br w:val="nil"/>
              <w:tr2bl w:val="nil"/>
            </w:tcBorders>
            <w:tcMar>
              <w:top w:w="20" w:type="dxa"/>
              <w:left w:w="20" w:type="dxa"/>
              <w:bottom w:w="20" w:type="dxa"/>
              <w:right w:w="20" w:type="dxa"/>
            </w:tcMar>
            <w:vAlign w:val="top"/>
          </w:tcPr>
          <w:p w14:paraId="1ADDFC2A">
            <w:pPr>
              <w:wordWrap w:val="0"/>
              <w:snapToGrid w:val="0"/>
              <w:spacing w:after="0" w:line="315" w:lineRule="exact"/>
              <w:jc w:val="left"/>
            </w:pPr>
            <w:r>
              <w:rPr>
                <w:rFonts w:ascii="宋体" w:hAnsi="宋体" w:eastAsia="宋体" w:cs="宋体"/>
                <w:color w:val="000000"/>
                <w:sz w:val="21"/>
              </w:rPr>
              <w:t>（1）根据医务室负责人资历、经验、医疗服务能力情况进行评分。正高职称3分，副高职称2分，中级及以下职称1分；</w:t>
            </w:r>
          </w:p>
          <w:p w14:paraId="34F0B04F">
            <w:pPr>
              <w:wordWrap w:val="0"/>
              <w:snapToGrid w:val="0"/>
              <w:spacing w:before="0" w:after="0" w:line="315" w:lineRule="exact"/>
              <w:jc w:val="left"/>
            </w:pPr>
            <w:r>
              <w:rPr>
                <w:rFonts w:ascii="宋体" w:hAnsi="宋体" w:eastAsia="宋体" w:cs="宋体"/>
                <w:color w:val="000000"/>
                <w:sz w:val="21"/>
              </w:rPr>
              <w:t>（2）根据拟派医生团队成员状况，委派医生(团队负责人除外)具有正高职称得5分，副高职称得3分，中级及以下职称1分；</w:t>
            </w:r>
          </w:p>
          <w:p w14:paraId="3385F620">
            <w:pPr>
              <w:wordWrap w:val="0"/>
              <w:snapToGrid w:val="0"/>
              <w:spacing w:before="0" w:after="0" w:line="315" w:lineRule="exact"/>
              <w:jc w:val="left"/>
            </w:pPr>
            <w:r>
              <w:rPr>
                <w:rFonts w:ascii="宋体" w:hAnsi="宋体" w:eastAsia="宋体" w:cs="宋体"/>
                <w:color w:val="000000"/>
                <w:sz w:val="21"/>
              </w:rPr>
              <w:t>（3）根据委派医生工作经历状况打分：有三级医院工作经历5年及以上5分、有二级医院工作经历5年及以上3分、有一级及以下医院工作经历5年及以上1分。</w:t>
            </w:r>
          </w:p>
          <w:p w14:paraId="48250791">
            <w:pPr>
              <w:wordWrap w:val="0"/>
              <w:snapToGrid w:val="0"/>
              <w:spacing w:before="0" w:after="0" w:line="315" w:lineRule="exact"/>
              <w:jc w:val="left"/>
            </w:pPr>
            <w:r>
              <w:rPr>
                <w:rFonts w:ascii="宋体" w:hAnsi="宋体" w:eastAsia="宋体" w:cs="宋体"/>
                <w:color w:val="000000"/>
                <w:sz w:val="21"/>
              </w:rPr>
              <w:t>（4）根据委派护士职称状况打分：主任护师5分、副主任护师3分、主管护师及以下职称1分。</w:t>
            </w:r>
          </w:p>
          <w:p w14:paraId="223F1AF0">
            <w:pPr>
              <w:wordWrap w:val="0"/>
              <w:snapToGrid w:val="0"/>
              <w:spacing w:before="0" w:after="0" w:line="315" w:lineRule="exact"/>
              <w:jc w:val="left"/>
            </w:pPr>
            <w:r>
              <w:rPr>
                <w:rFonts w:ascii="宋体" w:hAnsi="宋体" w:eastAsia="宋体" w:cs="宋体"/>
                <w:color w:val="000000"/>
                <w:sz w:val="21"/>
              </w:rPr>
              <w:t>（5）评委根据投标单位提供的投入本项目的常规医疗设备和抢救设施(所有权归中标方所有)清单完善程度进行评分。</w:t>
            </w:r>
          </w:p>
          <w:p w14:paraId="0EA20484">
            <w:pPr>
              <w:wordWrap w:val="0"/>
              <w:snapToGrid w:val="0"/>
              <w:spacing w:before="0" w:after="0" w:line="315" w:lineRule="exact"/>
              <w:jc w:val="left"/>
            </w:pPr>
            <w:r>
              <w:rPr>
                <w:rFonts w:ascii="宋体" w:hAnsi="宋体" w:eastAsia="宋体" w:cs="宋体"/>
                <w:color w:val="000000"/>
                <w:sz w:val="21"/>
              </w:rPr>
              <w:t>清单完整、详细，设备配置合理、针对性强、可实施性强的，得5分；</w:t>
            </w:r>
          </w:p>
          <w:p w14:paraId="567D40D3">
            <w:pPr>
              <w:wordWrap w:val="0"/>
              <w:snapToGrid w:val="0"/>
              <w:spacing w:before="0" w:after="0" w:line="315" w:lineRule="exact"/>
              <w:jc w:val="left"/>
            </w:pPr>
            <w:r>
              <w:rPr>
                <w:rFonts w:ascii="宋体" w:hAnsi="宋体" w:eastAsia="宋体" w:cs="宋体"/>
                <w:color w:val="000000"/>
                <w:sz w:val="21"/>
              </w:rPr>
              <w:t>清单较完整、较详细，设备配置较合理、针对性较强、可实施性较强的，得3分；</w:t>
            </w:r>
          </w:p>
          <w:p w14:paraId="286E934E">
            <w:pPr>
              <w:wordWrap w:val="0"/>
              <w:snapToGrid w:val="0"/>
              <w:spacing w:before="0" w:after="0" w:line="315" w:lineRule="exact"/>
              <w:jc w:val="left"/>
            </w:pPr>
            <w:r>
              <w:rPr>
                <w:rFonts w:ascii="宋体" w:hAnsi="宋体" w:eastAsia="宋体" w:cs="宋体"/>
                <w:color w:val="000000"/>
                <w:sz w:val="21"/>
              </w:rPr>
              <w:t>清单简单，欠缺针对性、可实施性的，得1分；</w:t>
            </w:r>
          </w:p>
          <w:p w14:paraId="01892B7E">
            <w:pPr>
              <w:wordWrap w:val="0"/>
              <w:snapToGrid w:val="0"/>
              <w:spacing w:before="0" w:after="0" w:line="315" w:lineRule="exact"/>
              <w:jc w:val="left"/>
            </w:pPr>
            <w:r>
              <w:rPr>
                <w:rFonts w:ascii="宋体" w:hAnsi="宋体" w:eastAsia="宋体" w:cs="宋体"/>
                <w:color w:val="000000"/>
                <w:sz w:val="21"/>
              </w:rPr>
              <w:t>其他情况不得分。</w:t>
            </w:r>
          </w:p>
          <w:p w14:paraId="42B176C8">
            <w:pPr>
              <w:wordWrap w:val="0"/>
              <w:snapToGrid w:val="0"/>
              <w:spacing w:before="0" w:after="0" w:line="315" w:lineRule="exact"/>
              <w:jc w:val="left"/>
            </w:pPr>
            <w:r>
              <w:rPr>
                <w:rFonts w:ascii="宋体" w:hAnsi="宋体" w:eastAsia="宋体" w:cs="宋体"/>
                <w:color w:val="000000"/>
                <w:sz w:val="21"/>
              </w:rPr>
              <w:t>（6）自2023年6月1日至今完成的项目，业主单位对其表彰的(提供证明材料加盖公章)，评价优秀一个得1分，本项最高2分。</w:t>
            </w:r>
          </w:p>
        </w:tc>
      </w:tr>
      <w:tr w14:paraId="4CC68F7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0" w:hRule="atLeast"/>
          <w:jc w:val="center"/>
        </w:trPr>
        <w:tc>
          <w:tcPr>
            <w:tcW w:w="0" w:type="auto"/>
            <w:tcBorders>
              <w:tl2br w:val="nil"/>
              <w:tr2bl w:val="nil"/>
            </w:tcBorders>
            <w:tcMar>
              <w:top w:w="20" w:type="dxa"/>
              <w:left w:w="20" w:type="dxa"/>
              <w:bottom w:w="20" w:type="dxa"/>
              <w:right w:w="20" w:type="dxa"/>
            </w:tcMar>
            <w:vAlign w:val="center"/>
          </w:tcPr>
          <w:p w14:paraId="492F12F9">
            <w:pPr>
              <w:wordWrap w:val="0"/>
              <w:snapToGrid w:val="0"/>
              <w:spacing w:after="0" w:line="315" w:lineRule="exact"/>
              <w:jc w:val="center"/>
            </w:pPr>
            <w:r>
              <w:rPr>
                <w:rFonts w:ascii="宋体" w:hAnsi="宋体" w:eastAsia="宋体" w:cs="宋体"/>
                <w:color w:val="000000"/>
                <w:sz w:val="21"/>
              </w:rPr>
              <w:t>类似业绩</w:t>
            </w:r>
          </w:p>
        </w:tc>
        <w:tc>
          <w:tcPr>
            <w:tcW w:w="0" w:type="auto"/>
            <w:tcBorders>
              <w:tl2br w:val="nil"/>
              <w:tr2bl w:val="nil"/>
            </w:tcBorders>
            <w:tcMar>
              <w:top w:w="20" w:type="dxa"/>
              <w:left w:w="20" w:type="dxa"/>
              <w:bottom w:w="20" w:type="dxa"/>
              <w:right w:w="20" w:type="dxa"/>
            </w:tcMar>
            <w:vAlign w:val="center"/>
          </w:tcPr>
          <w:p w14:paraId="6245D781">
            <w:pPr>
              <w:wordWrap w:val="0"/>
              <w:snapToGrid w:val="0"/>
              <w:jc w:val="center"/>
            </w:pPr>
            <w:r>
              <w:rPr>
                <w:rFonts w:ascii="宋体" w:hAnsi="宋体" w:eastAsia="宋体" w:cs="宋体"/>
                <w:color w:val="000000"/>
                <w:sz w:val="21"/>
              </w:rPr>
              <w:t>10</w:t>
            </w:r>
          </w:p>
        </w:tc>
        <w:tc>
          <w:tcPr>
            <w:tcW w:w="0" w:type="auto"/>
            <w:tcBorders>
              <w:tl2br w:val="nil"/>
              <w:tr2bl w:val="nil"/>
            </w:tcBorders>
            <w:tcMar>
              <w:top w:w="20" w:type="dxa"/>
              <w:left w:w="20" w:type="dxa"/>
              <w:bottom w:w="20" w:type="dxa"/>
              <w:right w:w="20" w:type="dxa"/>
            </w:tcMar>
            <w:vAlign w:val="top"/>
          </w:tcPr>
          <w:p w14:paraId="14E5F133">
            <w:pPr>
              <w:wordWrap w:val="0"/>
              <w:snapToGrid w:val="0"/>
              <w:spacing w:after="0" w:line="315" w:lineRule="exact"/>
              <w:jc w:val="left"/>
            </w:pPr>
            <w:r>
              <w:rPr>
                <w:rFonts w:ascii="宋体" w:hAnsi="宋体" w:eastAsia="宋体" w:cs="宋体"/>
                <w:color w:val="000000"/>
                <w:sz w:val="21"/>
              </w:rPr>
              <w:t>评委根据供应商提供自2023年6月1日以来的类似项目业绩进行综合评分，每提供一个业绩得2分，本项最多得10分(同一业绩不得重复得分，并提供合同复印件及中标通知书、项目合同采购人联系人及联系方式、加盖公章，原件备查)。</w:t>
            </w:r>
          </w:p>
        </w:tc>
      </w:tr>
    </w:tbl>
    <w:p w14:paraId="1B2FFDD2">
      <w:pPr>
        <w:spacing w:line="360" w:lineRule="auto"/>
        <w:rPr>
          <w:rFonts w:hAnsi="宋体"/>
          <w:b/>
          <w:sz w:val="24"/>
          <w:szCs w:val="24"/>
        </w:rPr>
      </w:pPr>
      <w:r>
        <w:rPr>
          <w:rFonts w:hint="eastAsia" w:hAnsi="宋体"/>
          <w:b/>
          <w:sz w:val="24"/>
          <w:szCs w:val="24"/>
        </w:rPr>
        <w:t>说明：</w:t>
      </w:r>
    </w:p>
    <w:p w14:paraId="58A36355">
      <w:pPr>
        <w:tabs>
          <w:tab w:val="left" w:pos="8200"/>
        </w:tabs>
        <w:spacing w:line="324" w:lineRule="auto"/>
        <w:ind w:firstLine="420"/>
        <w:rPr>
          <w:rFonts w:ascii="宋体" w:hAnsi="宋体" w:cs="宋体"/>
          <w:bCs/>
        </w:rPr>
      </w:pPr>
      <w:r>
        <w:rPr>
          <w:rFonts w:hint="eastAsia" w:ascii="宋体" w:hAnsi="宋体" w:cs="宋体"/>
          <w:bCs/>
        </w:rPr>
        <w:t>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p>
    <w:p w14:paraId="0BED9E40">
      <w:pPr>
        <w:pStyle w:val="185"/>
        <w:spacing w:before="120" w:after="100" w:afterAutospacing="1" w:line="240" w:lineRule="auto"/>
        <w:jc w:val="center"/>
        <w:rPr>
          <w:rFonts w:ascii="Arial" w:hAnsi="Arial" w:eastAsia="黑体" w:cs="Arial"/>
          <w:sz w:val="32"/>
        </w:rPr>
      </w:pPr>
      <w:r>
        <w:rPr>
          <w:rFonts w:hint="eastAsia" w:ascii="宋体" w:hAnsi="宋体" w:cs="宋体"/>
          <w:bCs/>
        </w:rPr>
        <w:br w:type="page" w:clear="all"/>
      </w:r>
      <w:bookmarkStart w:id="105" w:name="_Toc31316"/>
      <w:bookmarkStart w:id="106" w:name="_Toc237917800"/>
      <w:r>
        <w:rPr>
          <w:rFonts w:ascii="Arial" w:hAnsi="Arial" w:eastAsia="黑体" w:cs="Arial"/>
          <w:sz w:val="32"/>
        </w:rPr>
        <w:t>第五章 合同主要条款</w:t>
      </w:r>
      <w:bookmarkEnd w:id="105"/>
      <w:bookmarkEnd w:id="106"/>
    </w:p>
    <w:p w14:paraId="65C8FB51">
      <w:pPr>
        <w:spacing w:line="560" w:lineRule="exact"/>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江苏第二师范学院</w:t>
      </w:r>
      <w:r>
        <w:rPr>
          <w:rFonts w:hint="eastAsia" w:ascii="宋体" w:hAnsi="宋体" w:eastAsia="宋体" w:cs="宋体"/>
          <w:bCs/>
          <w:color w:val="auto"/>
          <w:sz w:val="44"/>
          <w:szCs w:val="44"/>
          <w:highlight w:val="none"/>
          <w:lang w:val="en-US" w:eastAsia="zh-CN"/>
        </w:rPr>
        <w:t>草场门</w:t>
      </w:r>
      <w:r>
        <w:rPr>
          <w:rFonts w:hint="eastAsia" w:ascii="宋体" w:hAnsi="宋体" w:eastAsia="宋体" w:cs="宋体"/>
          <w:bCs/>
          <w:color w:val="auto"/>
          <w:sz w:val="44"/>
          <w:szCs w:val="44"/>
          <w:highlight w:val="none"/>
        </w:rPr>
        <w:t>校区</w:t>
      </w:r>
    </w:p>
    <w:p w14:paraId="755264E6">
      <w:pPr>
        <w:spacing w:line="560" w:lineRule="exact"/>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卫生</w:t>
      </w:r>
      <w:r>
        <w:rPr>
          <w:rFonts w:hint="eastAsia" w:ascii="宋体" w:hAnsi="宋体" w:eastAsia="宋体" w:cs="宋体"/>
          <w:bCs/>
          <w:color w:val="auto"/>
          <w:sz w:val="44"/>
          <w:szCs w:val="44"/>
          <w:highlight w:val="none"/>
          <w:lang w:val="en-US" w:eastAsia="zh-CN"/>
        </w:rPr>
        <w:t>所医疗卫生服务托管</w:t>
      </w:r>
      <w:r>
        <w:rPr>
          <w:rFonts w:hint="eastAsia" w:ascii="宋体" w:hAnsi="宋体" w:eastAsia="宋体" w:cs="宋体"/>
          <w:bCs/>
          <w:color w:val="auto"/>
          <w:sz w:val="44"/>
          <w:szCs w:val="44"/>
          <w:highlight w:val="none"/>
        </w:rPr>
        <w:t>合同</w:t>
      </w:r>
    </w:p>
    <w:p w14:paraId="66C31C89">
      <w:pPr>
        <w:spacing w:line="320" w:lineRule="exact"/>
        <w:rPr>
          <w:rFonts w:ascii="Times New Roman" w:hAnsi="Times New Roman" w:eastAsia="黑体" w:cs="Times New Roman"/>
          <w:bCs/>
          <w:color w:val="auto"/>
          <w:sz w:val="28"/>
          <w:szCs w:val="28"/>
          <w:highlight w:val="none"/>
        </w:rPr>
      </w:pPr>
    </w:p>
    <w:p w14:paraId="1BCFF23D">
      <w:pPr>
        <w:keepNext w:val="0"/>
        <w:keepLines w:val="0"/>
        <w:pageBreakBefore w:val="0"/>
        <w:widowControl w:val="0"/>
        <w:tabs>
          <w:tab w:val="left" w:pos="8200"/>
        </w:tabs>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甲方：江苏第二师范学院</w:t>
      </w:r>
    </w:p>
    <w:p w14:paraId="57F5D6A2">
      <w:pPr>
        <w:keepNext w:val="0"/>
        <w:keepLines w:val="0"/>
        <w:pageBreakBefore w:val="0"/>
        <w:widowControl w:val="0"/>
        <w:tabs>
          <w:tab w:val="left" w:pos="8200"/>
        </w:tabs>
        <w:kinsoku/>
        <w:wordWrap/>
        <w:overflowPunct/>
        <w:topLinePunct w:val="0"/>
        <w:autoSpaceDE/>
        <w:autoSpaceDN/>
        <w:bidi w:val="0"/>
        <w:adjustRightInd/>
        <w:snapToGrid/>
        <w:spacing w:line="360" w:lineRule="auto"/>
        <w:ind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乙方：</w:t>
      </w:r>
    </w:p>
    <w:p w14:paraId="26914E3C">
      <w:pPr>
        <w:keepNext w:val="0"/>
        <w:keepLines w:val="0"/>
        <w:pageBreakBefore w:val="0"/>
        <w:widowControl w:val="0"/>
        <w:tabs>
          <w:tab w:val="left" w:pos="8200"/>
        </w:tabs>
        <w:kinsoku/>
        <w:wordWrap/>
        <w:overflowPunct/>
        <w:topLinePunct w:val="0"/>
        <w:autoSpaceDE/>
        <w:autoSpaceDN/>
        <w:bidi w:val="0"/>
        <w:adjustRightInd/>
        <w:snapToGrid/>
        <w:spacing w:line="360" w:lineRule="auto"/>
        <w:ind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为进一步提高学校医疗服务能力和水平，不断适应和满足师生基本医疗保障需求，根据国家有关法律、法规，甲乙双方本着诚实守信、平等自愿的原则，经协商一致，就草场门校区卫生所医疗卫生服务托管事宜订立本合同。</w:t>
      </w:r>
    </w:p>
    <w:p w14:paraId="53860A88">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第一条  托管服务内容</w:t>
      </w:r>
    </w:p>
    <w:p w14:paraId="41834987">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hint="eastAsia" w:ascii="Times New Roman" w:hAnsi="Times New Roman" w:eastAsia="宋体" w:cs="Times New Roman"/>
          <w:b w:val="0"/>
          <w:i w:val="0"/>
          <w:strike w:val="0"/>
          <w:color w:val="auto"/>
          <w:sz w:val="24"/>
          <w:szCs w:val="24"/>
          <w:highlight w:val="none"/>
          <w:u w:val="none"/>
          <w:lang w:val="en-US" w:eastAsia="zh-CN"/>
        </w:rPr>
        <w:t>草场门</w:t>
      </w:r>
      <w:r>
        <w:rPr>
          <w:rFonts w:ascii="Times New Roman" w:hAnsi="Times New Roman" w:eastAsia="宋体" w:cs="Times New Roman"/>
          <w:b w:val="0"/>
          <w:i w:val="0"/>
          <w:strike w:val="0"/>
          <w:color w:val="auto"/>
          <w:sz w:val="24"/>
          <w:szCs w:val="24"/>
          <w:highlight w:val="none"/>
          <w:u w:val="none"/>
        </w:rPr>
        <w:t>校区全校师生的日常门诊诊疗服务</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不开展输液服务</w:t>
      </w:r>
      <w:r>
        <w:rPr>
          <w:rFonts w:hint="eastAsia" w:ascii="Times New Roman" w:hAnsi="Times New Roman" w:eastAsia="宋体" w:cs="Times New Roman"/>
          <w:b w:val="0"/>
          <w:i w:val="0"/>
          <w:strike w:val="0"/>
          <w:color w:val="auto"/>
          <w:sz w:val="24"/>
          <w:szCs w:val="24"/>
          <w:highlight w:val="none"/>
          <w:u w:val="none"/>
          <w:lang w:eastAsia="zh-CN"/>
        </w:rPr>
        <w:t>）。</w:t>
      </w:r>
    </w:p>
    <w:p w14:paraId="5C0C3A0F">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必要的校内出诊诊疗服务。</w:t>
      </w:r>
    </w:p>
    <w:p w14:paraId="63D48A36">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ascii="Times New Roman" w:hAnsi="Times New Roman" w:eastAsia="宋体" w:cs="Times New Roman"/>
          <w:b w:val="0"/>
          <w:i w:val="0"/>
          <w:strike w:val="0"/>
          <w:color w:val="auto"/>
          <w:sz w:val="24"/>
          <w:szCs w:val="24"/>
          <w:highlight w:val="none"/>
          <w:u w:val="none"/>
        </w:rPr>
        <w:t>师生突发疾病的抢救、应急处理和转诊服务。</w:t>
      </w:r>
    </w:p>
    <w:p w14:paraId="54EC430A">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r>
        <w:rPr>
          <w:rFonts w:hint="eastAsia" w:ascii="Times New Roman" w:hAnsi="Times New Roman" w:eastAsia="宋体" w:cs="Times New Roman"/>
          <w:b w:val="0"/>
          <w:i w:val="0"/>
          <w:strike w:val="0"/>
          <w:color w:val="auto"/>
          <w:sz w:val="24"/>
          <w:szCs w:val="24"/>
          <w:highlight w:val="none"/>
          <w:u w:val="none"/>
          <w:lang w:val="en-US" w:eastAsia="zh-CN"/>
        </w:rPr>
        <w:t>根据学校的实际情况和统筹安排</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如学校通知承担新生入学体检工作。</w:t>
      </w:r>
      <w:r>
        <w:rPr>
          <w:rFonts w:ascii="Times New Roman" w:hAnsi="Times New Roman" w:eastAsia="宋体" w:cs="Times New Roman"/>
          <w:b w:val="0"/>
          <w:i w:val="0"/>
          <w:strike w:val="0"/>
          <w:color w:val="auto"/>
          <w:sz w:val="24"/>
          <w:szCs w:val="24"/>
          <w:highlight w:val="none"/>
          <w:u w:val="none"/>
        </w:rPr>
        <w:t>按照国家对高校学生体检的相关规定做好学生的体检工作，体检收费标准按政府公布的的标准执行。</w:t>
      </w:r>
    </w:p>
    <w:p w14:paraId="4E078B42">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r>
        <w:rPr>
          <w:rFonts w:ascii="Times New Roman" w:hAnsi="Times New Roman" w:eastAsia="宋体" w:cs="Times New Roman"/>
          <w:b w:val="0"/>
          <w:i w:val="0"/>
          <w:strike w:val="0"/>
          <w:color w:val="auto"/>
          <w:sz w:val="24"/>
          <w:szCs w:val="24"/>
          <w:highlight w:val="none"/>
          <w:u w:val="none"/>
        </w:rPr>
        <w:t>校园突发公共卫生事件、艾滋病、传染病等的预防和处理、登记、报告、宣传教育。</w:t>
      </w:r>
    </w:p>
    <w:p w14:paraId="2360D295">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b w:val="0"/>
          <w:i w:val="0"/>
          <w:strike w:val="0"/>
          <w:color w:val="auto"/>
          <w:sz w:val="24"/>
          <w:szCs w:val="24"/>
          <w:highlight w:val="none"/>
          <w:u w:val="none"/>
        </w:rPr>
        <w:t>重大活动时（如入学、军训、运动会、重要会议、重要考试、大学生体能测试及其他庆典活动等）医疗保障工作。</w:t>
      </w:r>
    </w:p>
    <w:p w14:paraId="76C837B5">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r>
        <w:rPr>
          <w:rFonts w:ascii="Times New Roman" w:hAnsi="Times New Roman" w:eastAsia="宋体" w:cs="Times New Roman"/>
          <w:b w:val="0"/>
          <w:i w:val="0"/>
          <w:strike w:val="0"/>
          <w:color w:val="auto"/>
          <w:sz w:val="24"/>
          <w:szCs w:val="24"/>
          <w:highlight w:val="none"/>
          <w:u w:val="none"/>
        </w:rPr>
        <w:t>预防保健、健康常识和突发性事件的医疗应急处理，并提供疾病、保健、健康咨询等医疗服务。</w:t>
      </w:r>
    </w:p>
    <w:p w14:paraId="6C223443">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第二条  人员配备数量及条件要求</w:t>
      </w:r>
    </w:p>
    <w:p w14:paraId="6107CF87">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ascii="Times New Roman" w:hAnsi="Times New Roman" w:eastAsia="宋体" w:cs="Times New Roman"/>
          <w:b w:val="0"/>
          <w:i w:val="0"/>
          <w:strike w:val="0"/>
          <w:color w:val="auto"/>
          <w:sz w:val="24"/>
          <w:szCs w:val="24"/>
          <w:highlight w:val="none"/>
          <w:u w:val="none"/>
        </w:rPr>
        <w:t>乙方负责人必须具备中级及以上相关专业职称，安排在卫生所工作的医务人员必须具有相应执业资格</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药房工作人员要具有执业药师证），</w:t>
      </w:r>
      <w:r>
        <w:rPr>
          <w:rFonts w:ascii="Times New Roman" w:hAnsi="Times New Roman" w:eastAsia="宋体" w:cs="Times New Roman"/>
          <w:b w:val="0"/>
          <w:i w:val="0"/>
          <w:strike w:val="0"/>
          <w:color w:val="auto"/>
          <w:sz w:val="24"/>
          <w:szCs w:val="24"/>
          <w:highlight w:val="none"/>
          <w:u w:val="none"/>
        </w:rPr>
        <w:t>具有</w:t>
      </w:r>
      <w:r>
        <w:rPr>
          <w:rFonts w:hint="eastAsia" w:ascii="Times New Roman" w:hAnsi="Times New Roman" w:eastAsia="宋体" w:cs="Times New Roman"/>
          <w:b w:val="0"/>
          <w:i w:val="0"/>
          <w:strike w:val="0"/>
          <w:color w:val="auto"/>
          <w:sz w:val="24"/>
          <w:szCs w:val="24"/>
          <w:highlight w:val="none"/>
          <w:u w:val="none"/>
          <w:lang w:val="en-US" w:eastAsia="zh-CN"/>
        </w:rPr>
        <w:t>5</w:t>
      </w:r>
      <w:r>
        <w:rPr>
          <w:rFonts w:ascii="Times New Roman" w:hAnsi="Times New Roman" w:eastAsia="宋体" w:cs="Times New Roman"/>
          <w:b w:val="0"/>
          <w:i w:val="0"/>
          <w:strike w:val="0"/>
          <w:color w:val="auto"/>
          <w:sz w:val="24"/>
          <w:szCs w:val="24"/>
          <w:highlight w:val="none"/>
          <w:u w:val="none"/>
        </w:rPr>
        <w:t>年以上从医经历和丰富的临床经验，乙方安排的医务人员的工资报酬及劳保、保险等一切福利待遇，由乙方负责承担。</w:t>
      </w:r>
    </w:p>
    <w:p w14:paraId="6F76E51F">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乙方提供全年24小时医疗服务</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不包含输液</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rPr>
        <w:t>，</w:t>
      </w:r>
      <w:r>
        <w:rPr>
          <w:rFonts w:ascii="Times New Roman" w:hAnsi="Times New Roman" w:eastAsia="宋体" w:cs="Times New Roman"/>
          <w:b w:val="0"/>
          <w:i w:val="0"/>
          <w:strike w:val="0"/>
          <w:color w:val="auto"/>
          <w:sz w:val="24"/>
          <w:szCs w:val="24"/>
          <w:highlight w:val="none"/>
          <w:u w:val="none"/>
        </w:rPr>
        <w:t>白天门诊确保</w:t>
      </w:r>
      <w:r>
        <w:rPr>
          <w:rFonts w:hint="eastAsia" w:ascii="Times New Roman" w:hAnsi="Times New Roman" w:eastAsia="宋体" w:cs="Times New Roman"/>
          <w:b w:val="0"/>
          <w:i w:val="0"/>
          <w:strike w:val="0"/>
          <w:color w:val="auto"/>
          <w:sz w:val="24"/>
          <w:szCs w:val="24"/>
          <w:highlight w:val="none"/>
          <w:u w:val="none"/>
          <w:lang w:val="en-US" w:eastAsia="zh-CN"/>
        </w:rPr>
        <w:t>2</w:t>
      </w:r>
      <w:r>
        <w:rPr>
          <w:rFonts w:ascii="Times New Roman" w:hAnsi="Times New Roman" w:eastAsia="宋体" w:cs="Times New Roman"/>
          <w:b w:val="0"/>
          <w:i w:val="0"/>
          <w:strike w:val="0"/>
          <w:color w:val="auto"/>
          <w:sz w:val="24"/>
          <w:szCs w:val="24"/>
          <w:highlight w:val="none"/>
          <w:u w:val="none"/>
        </w:rPr>
        <w:t>名医务人员</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含1名医生</w:t>
      </w:r>
      <w:r>
        <w:rPr>
          <w:rFonts w:hint="eastAsia" w:ascii="Times New Roman" w:hAnsi="Times New Roman" w:eastAsia="宋体" w:cs="Times New Roman"/>
          <w:b w:val="0"/>
          <w:i w:val="0"/>
          <w:strike w:val="0"/>
          <w:color w:val="auto"/>
          <w:sz w:val="24"/>
          <w:szCs w:val="24"/>
          <w:highlight w:val="none"/>
          <w:u w:val="none"/>
          <w:lang w:eastAsia="zh-CN"/>
        </w:rPr>
        <w:t>）</w:t>
      </w:r>
      <w:r>
        <w:rPr>
          <w:rFonts w:ascii="Times New Roman" w:hAnsi="Times New Roman" w:eastAsia="宋体" w:cs="Times New Roman"/>
          <w:b w:val="0"/>
          <w:i w:val="0"/>
          <w:strike w:val="0"/>
          <w:color w:val="auto"/>
          <w:sz w:val="24"/>
          <w:szCs w:val="24"/>
          <w:highlight w:val="none"/>
          <w:u w:val="none"/>
        </w:rPr>
        <w:t>在岗，夜间和节假日保证有2名医务人员</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含1名医生</w:t>
      </w:r>
      <w:r>
        <w:rPr>
          <w:rFonts w:hint="eastAsia" w:ascii="Times New Roman" w:hAnsi="Times New Roman" w:eastAsia="宋体" w:cs="Times New Roman"/>
          <w:b w:val="0"/>
          <w:i w:val="0"/>
          <w:strike w:val="0"/>
          <w:color w:val="auto"/>
          <w:sz w:val="24"/>
          <w:szCs w:val="24"/>
          <w:highlight w:val="none"/>
          <w:u w:val="none"/>
          <w:lang w:eastAsia="zh-CN"/>
        </w:rPr>
        <w:t>）</w:t>
      </w:r>
      <w:r>
        <w:rPr>
          <w:rFonts w:ascii="Times New Roman" w:hAnsi="Times New Roman" w:eastAsia="宋体" w:cs="Times New Roman"/>
          <w:b w:val="0"/>
          <w:i w:val="0"/>
          <w:strike w:val="0"/>
          <w:color w:val="auto"/>
          <w:sz w:val="24"/>
          <w:szCs w:val="24"/>
          <w:highlight w:val="none"/>
          <w:u w:val="none"/>
        </w:rPr>
        <w:t>值班，并保证有1名女性</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人员配备满足正常诊疗要求</w:t>
      </w:r>
      <w:r>
        <w:rPr>
          <w:rFonts w:ascii="Times New Roman" w:hAnsi="Times New Roman" w:eastAsia="宋体" w:cs="Times New Roman"/>
          <w:b w:val="0"/>
          <w:i w:val="0"/>
          <w:strike w:val="0"/>
          <w:color w:val="auto"/>
          <w:sz w:val="24"/>
          <w:szCs w:val="24"/>
          <w:highlight w:val="none"/>
          <w:u w:val="none"/>
        </w:rPr>
        <w:t>。根据学校教学作息时间安排相应的服务时间。工作期间医务人员不得擅自离岗。</w:t>
      </w:r>
    </w:p>
    <w:p w14:paraId="1C9798C5">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第三条  托管服务期限</w:t>
      </w:r>
    </w:p>
    <w:p w14:paraId="75B5BC24">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ascii="Times New Roman" w:hAnsi="Times New Roman" w:eastAsia="宋体" w:cs="Times New Roman"/>
          <w:b w:val="0"/>
          <w:i w:val="0"/>
          <w:strike w:val="0"/>
          <w:color w:val="auto"/>
          <w:sz w:val="24"/>
          <w:szCs w:val="24"/>
          <w:highlight w:val="none"/>
          <w:u w:val="none"/>
        </w:rPr>
        <w:t>服务期自202</w:t>
      </w:r>
      <w:r>
        <w:rPr>
          <w:rFonts w:hint="eastAsia" w:ascii="Times New Roman" w:hAnsi="Times New Roman" w:eastAsia="宋体" w:cs="Times New Roman"/>
          <w:b w:val="0"/>
          <w:i w:val="0"/>
          <w:strike w:val="0"/>
          <w:color w:val="auto"/>
          <w:sz w:val="24"/>
          <w:szCs w:val="24"/>
          <w:highlight w:val="none"/>
          <w:u w:val="none"/>
          <w:lang w:val="en-US" w:eastAsia="zh-CN"/>
        </w:rPr>
        <w:t>6</w:t>
      </w:r>
      <w:r>
        <w:rPr>
          <w:rFonts w:ascii="Times New Roman" w:hAnsi="Times New Roman" w:eastAsia="宋体" w:cs="Times New Roman"/>
          <w:b w:val="0"/>
          <w:i w:val="0"/>
          <w:strike w:val="0"/>
          <w:color w:val="auto"/>
          <w:sz w:val="24"/>
          <w:szCs w:val="24"/>
          <w:highlight w:val="none"/>
          <w:u w:val="none"/>
        </w:rPr>
        <w:t>年</w:t>
      </w:r>
      <w:r>
        <w:rPr>
          <w:rFonts w:hint="eastAsia" w:ascii="Times New Roman" w:hAnsi="Times New Roman" w:eastAsia="宋体" w:cs="Times New Roman"/>
          <w:b w:val="0"/>
          <w:i w:val="0"/>
          <w:strike w:val="0"/>
          <w:color w:val="auto"/>
          <w:sz w:val="24"/>
          <w:szCs w:val="24"/>
          <w:highlight w:val="none"/>
          <w:u w:val="none"/>
          <w:lang w:val="en-US" w:eastAsia="zh-CN"/>
        </w:rPr>
        <w:t>11</w:t>
      </w:r>
      <w:r>
        <w:rPr>
          <w:rFonts w:ascii="Times New Roman" w:hAnsi="Times New Roman" w:eastAsia="宋体" w:cs="Times New Roman"/>
          <w:b w:val="0"/>
          <w:i w:val="0"/>
          <w:strike w:val="0"/>
          <w:color w:val="auto"/>
          <w:sz w:val="24"/>
          <w:szCs w:val="24"/>
          <w:highlight w:val="none"/>
          <w:u w:val="none"/>
        </w:rPr>
        <w:t>月</w:t>
      </w:r>
      <w:r>
        <w:rPr>
          <w:rFonts w:hint="eastAsia" w:ascii="Times New Roman" w:hAnsi="Times New Roman" w:eastAsia="宋体" w:cs="Times New Roman"/>
          <w:b w:val="0"/>
          <w:i w:val="0"/>
          <w:strike w:val="0"/>
          <w:color w:val="auto"/>
          <w:sz w:val="24"/>
          <w:szCs w:val="24"/>
          <w:highlight w:val="none"/>
          <w:u w:val="none"/>
          <w:lang w:val="en-US" w:eastAsia="zh-CN"/>
        </w:rPr>
        <w:t>08</w:t>
      </w:r>
      <w:r>
        <w:rPr>
          <w:rFonts w:ascii="Times New Roman" w:hAnsi="Times New Roman" w:eastAsia="宋体" w:cs="Times New Roman"/>
          <w:b w:val="0"/>
          <w:i w:val="0"/>
          <w:strike w:val="0"/>
          <w:color w:val="auto"/>
          <w:sz w:val="24"/>
          <w:szCs w:val="24"/>
          <w:highlight w:val="none"/>
          <w:u w:val="none"/>
        </w:rPr>
        <w:t>日至202</w:t>
      </w:r>
      <w:r>
        <w:rPr>
          <w:rFonts w:hint="eastAsia" w:ascii="Times New Roman" w:hAnsi="Times New Roman" w:eastAsia="宋体" w:cs="Times New Roman"/>
          <w:b w:val="0"/>
          <w:i w:val="0"/>
          <w:strike w:val="0"/>
          <w:color w:val="auto"/>
          <w:sz w:val="24"/>
          <w:szCs w:val="24"/>
          <w:highlight w:val="none"/>
          <w:u w:val="none"/>
          <w:lang w:val="en-US" w:eastAsia="zh-CN"/>
        </w:rPr>
        <w:t>9</w:t>
      </w:r>
      <w:r>
        <w:rPr>
          <w:rFonts w:ascii="Times New Roman" w:hAnsi="Times New Roman" w:eastAsia="宋体" w:cs="Times New Roman"/>
          <w:b w:val="0"/>
          <w:i w:val="0"/>
          <w:strike w:val="0"/>
          <w:color w:val="auto"/>
          <w:sz w:val="24"/>
          <w:szCs w:val="24"/>
          <w:highlight w:val="none"/>
          <w:u w:val="none"/>
        </w:rPr>
        <w:t>年0</w:t>
      </w:r>
      <w:r>
        <w:rPr>
          <w:rFonts w:hint="eastAsia" w:ascii="Times New Roman" w:hAnsi="Times New Roman" w:eastAsia="宋体" w:cs="Times New Roman"/>
          <w:b w:val="0"/>
          <w:i w:val="0"/>
          <w:strike w:val="0"/>
          <w:color w:val="auto"/>
          <w:sz w:val="24"/>
          <w:szCs w:val="24"/>
          <w:highlight w:val="none"/>
          <w:u w:val="none"/>
          <w:lang w:val="en-US" w:eastAsia="zh-CN"/>
        </w:rPr>
        <w:t>7</w:t>
      </w:r>
      <w:r>
        <w:rPr>
          <w:rFonts w:ascii="Times New Roman" w:hAnsi="Times New Roman" w:eastAsia="宋体" w:cs="Times New Roman"/>
          <w:b w:val="0"/>
          <w:i w:val="0"/>
          <w:strike w:val="0"/>
          <w:color w:val="auto"/>
          <w:sz w:val="24"/>
          <w:szCs w:val="24"/>
          <w:highlight w:val="none"/>
          <w:u w:val="none"/>
        </w:rPr>
        <w:t>月31日止。</w:t>
      </w:r>
    </w:p>
    <w:p w14:paraId="33D11EEE">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合作期满或按本合同规定的终止条款，甲方有权收回房屋。乙方应在合同终止日后的</w:t>
      </w:r>
      <w:r>
        <w:rPr>
          <w:rFonts w:hint="eastAsia" w:ascii="Times New Roman" w:hAnsi="Times New Roman" w:eastAsia="宋体" w:cs="Times New Roman"/>
          <w:b w:val="0"/>
          <w:i w:val="0"/>
          <w:strike w:val="0"/>
          <w:color w:val="auto"/>
          <w:sz w:val="24"/>
          <w:szCs w:val="24"/>
          <w:highlight w:val="none"/>
          <w:u w:val="none"/>
        </w:rPr>
        <w:t>5日</w:t>
      </w:r>
      <w:r>
        <w:rPr>
          <w:rFonts w:ascii="Times New Roman" w:hAnsi="Times New Roman" w:eastAsia="宋体" w:cs="Times New Roman"/>
          <w:b w:val="0"/>
          <w:i w:val="0"/>
          <w:strike w:val="0"/>
          <w:color w:val="auto"/>
          <w:sz w:val="24"/>
          <w:szCs w:val="24"/>
          <w:highlight w:val="none"/>
          <w:u w:val="none"/>
        </w:rPr>
        <w:t>内自行撤除乙方自有的设备、设施及一切物品。如超出约定期限，甲方有处置留存物品的权力，由此造成的损失（费用）由乙方承担。</w:t>
      </w:r>
    </w:p>
    <w:p w14:paraId="14E2BAB0">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第四条 履约保证金及托管服务费</w:t>
      </w:r>
    </w:p>
    <w:p w14:paraId="23DEECBC">
      <w:pPr>
        <w:keepNext w:val="0"/>
        <w:keepLines w:val="0"/>
        <w:pageBreakBefore w:val="0"/>
        <w:widowControl w:val="0"/>
        <w:kinsoku/>
        <w:wordWrap/>
        <w:overflowPunct/>
        <w:topLinePunct w:val="0"/>
        <w:autoSpaceDE/>
        <w:autoSpaceDN/>
        <w:bidi w:val="0"/>
        <w:adjustRightInd/>
        <w:snapToGrid/>
        <w:spacing w:line="360" w:lineRule="auto"/>
        <w:ind w:firstLine="480" w:firstLineChars="0"/>
        <w:jc w:val="both"/>
        <w:textAlignment w:val="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1.</w:t>
      </w:r>
      <w:r>
        <w:rPr>
          <w:rFonts w:ascii="Times New Roman" w:hAnsi="Times New Roman" w:eastAsia="宋体" w:cs="Times New Roman"/>
          <w:b/>
          <w:i w:val="0"/>
          <w:strike w:val="0"/>
          <w:color w:val="auto"/>
          <w:sz w:val="24"/>
          <w:szCs w:val="24"/>
          <w:highlight w:val="none"/>
          <w:u w:val="none"/>
        </w:rPr>
        <w:t>履约保证金</w:t>
      </w:r>
    </w:p>
    <w:p w14:paraId="03DA7B74">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履约保证金采用以下方式缴纳。乙方在中标后签订本合同前 ，向甲方缴纳合同金额的10%作为履约保证金。履约保证金的有效期为该项目服务期满时为止。如乙方未能履行合同规定的义务，甲方有权从履约保证金中取得补偿。履约保证金扣除甲方应得的补偿后的余额在有效期满后七工作日内无息退还给乙方。</w:t>
      </w:r>
    </w:p>
    <w:p w14:paraId="60AEF292">
      <w:pPr>
        <w:keepNext w:val="0"/>
        <w:keepLines w:val="0"/>
        <w:pageBreakBefore w:val="0"/>
        <w:widowControl w:val="0"/>
        <w:kinsoku/>
        <w:wordWrap/>
        <w:overflowPunct/>
        <w:topLinePunct w:val="0"/>
        <w:autoSpaceDE/>
        <w:autoSpaceDN/>
        <w:bidi w:val="0"/>
        <w:adjustRightInd/>
        <w:snapToGrid/>
        <w:spacing w:line="360" w:lineRule="auto"/>
        <w:ind w:firstLine="480" w:firstLineChars="0"/>
        <w:jc w:val="both"/>
        <w:textAlignment w:val="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w:t>
      </w:r>
      <w:r>
        <w:rPr>
          <w:rFonts w:ascii="Times New Roman" w:hAnsi="Times New Roman" w:eastAsia="宋体" w:cs="Times New Roman"/>
          <w:b/>
          <w:i w:val="0"/>
          <w:strike w:val="0"/>
          <w:color w:val="auto"/>
          <w:sz w:val="24"/>
          <w:szCs w:val="24"/>
          <w:highlight w:val="none"/>
          <w:u w:val="none"/>
        </w:rPr>
        <w:t>托管服务费</w:t>
      </w:r>
    </w:p>
    <w:p w14:paraId="2A8D392D">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托管服务费标准为每年人民币（大写：           ）（小写：         ），三年合同总价款为人民币（大写：        ）（小写：         ）托管服务费每年分2次支付（每半年学校支付一次），为后付费制，前五次在每服务半年后，乙方开具发票后10个工作日内支付，最后一次于项目结束、完成交接后，验收合格后，经甲方审计处审计无误后，乙方开具发票后10个工作日内支付，最后一次付款因服务不足半年，按实际服务月份核算后支付相应托管服务费。</w:t>
      </w:r>
    </w:p>
    <w:p w14:paraId="165ACE11">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第五条  托管场地、用途</w:t>
      </w:r>
    </w:p>
    <w:p w14:paraId="2F1A51C8">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１.</w:t>
      </w:r>
      <w:r>
        <w:rPr>
          <w:rFonts w:ascii="Times New Roman" w:hAnsi="Times New Roman" w:eastAsia="宋体" w:cs="Times New Roman"/>
          <w:b w:val="0"/>
          <w:i w:val="0"/>
          <w:strike w:val="0"/>
          <w:color w:val="auto"/>
          <w:sz w:val="24"/>
          <w:szCs w:val="24"/>
          <w:highlight w:val="none"/>
          <w:u w:val="none"/>
        </w:rPr>
        <w:t>甲方提供房屋设立卫生所（包括医疗用房、值班用房），将卫生所按双方拟定的科室功能、房间布局无偿提供给乙方作为医疗服务场所（以下简称“卫生所”）。</w:t>
      </w:r>
    </w:p>
    <w:p w14:paraId="0D9883C4">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所有场地只能从事与校内医务保障相关的事情，乙方不得将卫生所作为其它用途或者从事医务活动外的其他活动，不得以任何名义转借、转让、分包给第三方，否则视为乙方违约，甲方有权解除本合同，并追究乙方的违约责任。</w:t>
      </w:r>
    </w:p>
    <w:p w14:paraId="7FA84D5A">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第六条  设备、设施投入和医疗许可证的办理</w:t>
      </w:r>
    </w:p>
    <w:p w14:paraId="2CD93E7A">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１.</w:t>
      </w:r>
      <w:r>
        <w:rPr>
          <w:rFonts w:ascii="Times New Roman" w:hAnsi="Times New Roman" w:eastAsia="宋体" w:cs="Times New Roman"/>
          <w:b w:val="0"/>
          <w:i w:val="0"/>
          <w:strike w:val="0"/>
          <w:color w:val="auto"/>
          <w:sz w:val="24"/>
          <w:szCs w:val="24"/>
          <w:highlight w:val="none"/>
          <w:u w:val="none"/>
        </w:rPr>
        <w:t>甲方向乙方提供《医疗机构执业许可证》。合同期内，乙方应根据《医疗机构条例》《高等学校医疗保健机构工作流程》负责办理《医疗机构执业许可证》年审等相关手续，必要时甲方应协助出具相关证明资料。</w:t>
      </w:r>
    </w:p>
    <w:p w14:paraId="299A2206">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甲方负责提供除医疗设施设备以外的基本办公、值班设备和家具，安装空调、电话、网络（不含和医疗系统网络对接端口的费用）等生活设施</w:t>
      </w:r>
      <w:r>
        <w:rPr>
          <w:rFonts w:hint="eastAsia" w:ascii="Times New Roman" w:hAnsi="Times New Roman" w:eastAsia="宋体" w:cs="Times New Roman"/>
          <w:b w:val="0"/>
          <w:i w:val="0"/>
          <w:strike w:val="0"/>
          <w:color w:val="auto"/>
          <w:sz w:val="24"/>
          <w:szCs w:val="24"/>
          <w:highlight w:val="none"/>
          <w:u w:val="none"/>
        </w:rPr>
        <w:t>，</w:t>
      </w:r>
      <w:r>
        <w:rPr>
          <w:rFonts w:ascii="Times New Roman" w:hAnsi="Times New Roman" w:eastAsia="宋体" w:cs="Times New Roman"/>
          <w:b w:val="0"/>
          <w:i w:val="0"/>
          <w:strike w:val="0"/>
          <w:color w:val="auto"/>
          <w:sz w:val="24"/>
          <w:szCs w:val="24"/>
          <w:highlight w:val="none"/>
          <w:u w:val="none"/>
        </w:rPr>
        <w:t>保证水电正常使用</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水电费甲方承担</w:t>
      </w:r>
      <w:r>
        <w:rPr>
          <w:rFonts w:ascii="Times New Roman" w:hAnsi="Times New Roman" w:eastAsia="宋体" w:cs="Times New Roman"/>
          <w:b w:val="0"/>
          <w:i w:val="0"/>
          <w:strike w:val="0"/>
          <w:color w:val="auto"/>
          <w:sz w:val="24"/>
          <w:szCs w:val="24"/>
          <w:highlight w:val="none"/>
          <w:u w:val="none"/>
        </w:rPr>
        <w:t>。</w:t>
      </w:r>
    </w:p>
    <w:p w14:paraId="34BDF8C2">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ascii="Times New Roman" w:hAnsi="Times New Roman" w:eastAsia="宋体" w:cs="Times New Roman"/>
          <w:b w:val="0"/>
          <w:i w:val="0"/>
          <w:strike w:val="0"/>
          <w:color w:val="auto"/>
          <w:sz w:val="24"/>
          <w:szCs w:val="24"/>
          <w:highlight w:val="none"/>
          <w:u w:val="none"/>
        </w:rPr>
        <w:t>乙方根据高校医疗保健工作需要，配备符合国家有关技术标准的医疗设备（包括但不限于：血液分析仪、尿液分析仪、心电图机、氧气瓶等设备）和所需的医疗设施。</w:t>
      </w:r>
      <w:r>
        <w:rPr>
          <w:rFonts w:hint="eastAsia" w:ascii="Times New Roman" w:hAnsi="Times New Roman" w:eastAsia="宋体" w:cs="Times New Roman"/>
          <w:b w:val="0"/>
          <w:i w:val="0"/>
          <w:strike w:val="0"/>
          <w:color w:val="auto"/>
          <w:sz w:val="24"/>
          <w:szCs w:val="24"/>
          <w:highlight w:val="none"/>
          <w:u w:val="none"/>
          <w:lang w:val="en-US" w:eastAsia="zh-CN"/>
        </w:rPr>
        <w:t>使用期间定期维修，保证设备在有效期内，</w:t>
      </w:r>
      <w:r>
        <w:rPr>
          <w:rFonts w:ascii="Times New Roman" w:hAnsi="Times New Roman" w:eastAsia="宋体" w:cs="Times New Roman"/>
          <w:b w:val="0"/>
          <w:i w:val="0"/>
          <w:strike w:val="0"/>
          <w:color w:val="auto"/>
          <w:sz w:val="24"/>
          <w:szCs w:val="24"/>
          <w:highlight w:val="none"/>
          <w:u w:val="none"/>
        </w:rPr>
        <w:t>保证常规诊断、治疗的正常开展。</w:t>
      </w:r>
    </w:p>
    <w:p w14:paraId="47BE5B5A">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r>
        <w:rPr>
          <w:rFonts w:ascii="Times New Roman" w:hAnsi="Times New Roman" w:eastAsia="宋体" w:cs="Times New Roman"/>
          <w:b w:val="0"/>
          <w:i w:val="0"/>
          <w:strike w:val="0"/>
          <w:color w:val="auto"/>
          <w:sz w:val="24"/>
          <w:szCs w:val="24"/>
          <w:highlight w:val="none"/>
          <w:u w:val="none"/>
        </w:rPr>
        <w:t>乙方投入的设施设备归乙方所有</w:t>
      </w:r>
      <w:r>
        <w:rPr>
          <w:rFonts w:hint="eastAsia" w:ascii="Times New Roman" w:hAnsi="Times New Roman" w:eastAsia="宋体" w:cs="Times New Roman"/>
          <w:b w:val="0"/>
          <w:i w:val="0"/>
          <w:strike w:val="0"/>
          <w:color w:val="auto"/>
          <w:sz w:val="24"/>
          <w:szCs w:val="24"/>
          <w:highlight w:val="none"/>
          <w:u w:val="none"/>
        </w:rPr>
        <w:t>。</w:t>
      </w:r>
      <w:r>
        <w:rPr>
          <w:rFonts w:ascii="Times New Roman" w:hAnsi="Times New Roman" w:eastAsia="宋体" w:cs="Times New Roman"/>
          <w:b w:val="0"/>
          <w:i w:val="0"/>
          <w:strike w:val="0"/>
          <w:color w:val="auto"/>
          <w:sz w:val="24"/>
          <w:szCs w:val="24"/>
          <w:highlight w:val="none"/>
          <w:u w:val="none"/>
        </w:rPr>
        <w:t>合同期满后，乙方自行撤除投入的设备、设施。</w:t>
      </w:r>
    </w:p>
    <w:p w14:paraId="26527420">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第七条  甲方权利和义务</w:t>
      </w:r>
    </w:p>
    <w:p w14:paraId="33CE0C2F">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ascii="Times New Roman" w:hAnsi="Times New Roman" w:eastAsia="宋体" w:cs="Times New Roman"/>
          <w:b w:val="0"/>
          <w:i w:val="0"/>
          <w:strike w:val="0"/>
          <w:color w:val="auto"/>
          <w:sz w:val="24"/>
          <w:szCs w:val="24"/>
          <w:highlight w:val="none"/>
          <w:u w:val="none"/>
        </w:rPr>
        <w:t>按照合同约定及时提供符合要求的场地，及时完成场所的基本装修，及时提供必要办公、值班的设施设备，保证水电正常使用。</w:t>
      </w:r>
    </w:p>
    <w:p w14:paraId="5F87694B">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向乙方提供卫生所所需的《医疗机构执业许可证》，协助乙方办理年审等相关事项。</w:t>
      </w:r>
    </w:p>
    <w:p w14:paraId="3F37C62C">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ascii="Times New Roman" w:hAnsi="Times New Roman" w:eastAsia="宋体" w:cs="Times New Roman"/>
          <w:b w:val="0"/>
          <w:i w:val="0"/>
          <w:strike w:val="0"/>
          <w:color w:val="auto"/>
          <w:sz w:val="24"/>
          <w:szCs w:val="24"/>
          <w:highlight w:val="none"/>
          <w:u w:val="none"/>
        </w:rPr>
        <w:t>为乙方办理人员和车辆出入证、人员就餐饭卡等必要的手续。</w:t>
      </w:r>
    </w:p>
    <w:p w14:paraId="27AD00AE">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r>
        <w:rPr>
          <w:rFonts w:ascii="Times New Roman" w:hAnsi="Times New Roman" w:eastAsia="宋体" w:cs="Times New Roman"/>
          <w:b w:val="0"/>
          <w:i w:val="0"/>
          <w:strike w:val="0"/>
          <w:color w:val="auto"/>
          <w:sz w:val="24"/>
          <w:szCs w:val="24"/>
          <w:highlight w:val="none"/>
          <w:u w:val="none"/>
        </w:rPr>
        <w:t>协助解决乙方在诊疗期间与师生的争议和纠纷。</w:t>
      </w:r>
    </w:p>
    <w:p w14:paraId="7AF1685D">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r>
        <w:rPr>
          <w:rFonts w:ascii="Times New Roman" w:hAnsi="Times New Roman" w:eastAsia="宋体" w:cs="Times New Roman"/>
          <w:b w:val="0"/>
          <w:i w:val="0"/>
          <w:strike w:val="0"/>
          <w:color w:val="auto"/>
          <w:sz w:val="24"/>
          <w:szCs w:val="24"/>
          <w:highlight w:val="none"/>
          <w:u w:val="none"/>
        </w:rPr>
        <w:t>按照合同约定和相关法律法规政策规定制定卫生所管理考核规定，并按规定对乙方进行监管。</w:t>
      </w:r>
    </w:p>
    <w:p w14:paraId="61B63F6D">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b w:val="0"/>
          <w:i w:val="0"/>
          <w:strike w:val="0"/>
          <w:color w:val="auto"/>
          <w:sz w:val="24"/>
          <w:szCs w:val="24"/>
          <w:highlight w:val="none"/>
          <w:u w:val="none"/>
        </w:rPr>
        <w:t>对乙方的医疗管理、医疗服务、医疗设备、药品质量、医疗收费等进行例行检查和日常考核，对违约违规行为进行追究。包括</w:t>
      </w:r>
      <w:r>
        <w:rPr>
          <w:rFonts w:hint="eastAsia" w:ascii="Times New Roman" w:hAnsi="Times New Roman" w:eastAsia="宋体" w:cs="Times New Roman"/>
          <w:b w:val="0"/>
          <w:i w:val="0"/>
          <w:strike w:val="0"/>
          <w:color w:val="auto"/>
          <w:sz w:val="24"/>
          <w:szCs w:val="24"/>
          <w:highlight w:val="none"/>
          <w:u w:val="none"/>
          <w:lang w:val="en-US" w:eastAsia="zh-CN"/>
        </w:rPr>
        <w:t>约谈乙方负责人，</w:t>
      </w:r>
      <w:r>
        <w:rPr>
          <w:rFonts w:ascii="Times New Roman" w:hAnsi="Times New Roman" w:eastAsia="宋体" w:cs="Times New Roman"/>
          <w:b w:val="0"/>
          <w:i w:val="0"/>
          <w:strike w:val="0"/>
          <w:color w:val="auto"/>
          <w:sz w:val="24"/>
          <w:szCs w:val="24"/>
          <w:highlight w:val="none"/>
          <w:u w:val="none"/>
        </w:rPr>
        <w:t>建议乙方任用领导和撤换不适合在校工作的医务人员。</w:t>
      </w:r>
    </w:p>
    <w:p w14:paraId="1DD53DF4">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r>
        <w:rPr>
          <w:rFonts w:ascii="Times New Roman" w:hAnsi="Times New Roman" w:eastAsia="宋体" w:cs="Times New Roman"/>
          <w:b w:val="0"/>
          <w:i w:val="0"/>
          <w:strike w:val="0"/>
          <w:color w:val="auto"/>
          <w:sz w:val="24"/>
          <w:szCs w:val="24"/>
          <w:highlight w:val="none"/>
          <w:u w:val="none"/>
        </w:rPr>
        <w:t>对乙方</w:t>
      </w:r>
      <w:r>
        <w:rPr>
          <w:rFonts w:hint="eastAsia" w:ascii="Times New Roman" w:hAnsi="Times New Roman" w:eastAsia="宋体" w:cs="Times New Roman"/>
          <w:b w:val="0"/>
          <w:i w:val="0"/>
          <w:strike w:val="0"/>
          <w:color w:val="auto"/>
          <w:sz w:val="24"/>
          <w:szCs w:val="24"/>
          <w:highlight w:val="none"/>
          <w:u w:val="none"/>
        </w:rPr>
        <w:t>服务开展</w:t>
      </w:r>
      <w:r>
        <w:rPr>
          <w:rFonts w:ascii="Times New Roman" w:hAnsi="Times New Roman" w:eastAsia="宋体" w:cs="Times New Roman"/>
          <w:b w:val="0"/>
          <w:i w:val="0"/>
          <w:strike w:val="0"/>
          <w:color w:val="auto"/>
          <w:sz w:val="24"/>
          <w:szCs w:val="24"/>
          <w:highlight w:val="none"/>
          <w:u w:val="none"/>
        </w:rPr>
        <w:t>师生满意度</w:t>
      </w:r>
      <w:r>
        <w:rPr>
          <w:rFonts w:hint="eastAsia" w:ascii="Times New Roman" w:hAnsi="Times New Roman" w:eastAsia="宋体" w:cs="Times New Roman"/>
          <w:b w:val="0"/>
          <w:i w:val="0"/>
          <w:strike w:val="0"/>
          <w:color w:val="auto"/>
          <w:sz w:val="24"/>
          <w:szCs w:val="24"/>
          <w:highlight w:val="none"/>
          <w:u w:val="none"/>
        </w:rPr>
        <w:t>测评</w:t>
      </w:r>
      <w:r>
        <w:rPr>
          <w:rFonts w:ascii="Times New Roman" w:hAnsi="Times New Roman" w:eastAsia="宋体" w:cs="Times New Roman"/>
          <w:b w:val="0"/>
          <w:i w:val="0"/>
          <w:strike w:val="0"/>
          <w:color w:val="auto"/>
          <w:sz w:val="24"/>
          <w:szCs w:val="24"/>
          <w:highlight w:val="none"/>
          <w:u w:val="none"/>
        </w:rPr>
        <w:t>，根据调查结果提出整改意见。</w:t>
      </w:r>
      <w:r>
        <w:rPr>
          <w:rFonts w:hint="eastAsia" w:ascii="Times New Roman" w:hAnsi="Times New Roman" w:eastAsia="宋体" w:cs="Times New Roman"/>
          <w:b w:val="0"/>
          <w:i w:val="0"/>
          <w:strike w:val="0"/>
          <w:color w:val="auto"/>
          <w:sz w:val="24"/>
          <w:szCs w:val="24"/>
          <w:highlight w:val="none"/>
          <w:u w:val="none"/>
          <w:lang w:val="en-US" w:eastAsia="zh-CN"/>
        </w:rPr>
        <w:t>如果整改不到位或服务态度恶劣，多次投诉，乙方应根据甲方要求及时更相关人员，保证服务质量。</w:t>
      </w:r>
    </w:p>
    <w:p w14:paraId="7F14299E">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r>
        <w:rPr>
          <w:rFonts w:ascii="Times New Roman" w:hAnsi="Times New Roman" w:eastAsia="宋体" w:cs="Times New Roman"/>
          <w:b w:val="0"/>
          <w:i w:val="0"/>
          <w:strike w:val="0"/>
          <w:color w:val="auto"/>
          <w:sz w:val="24"/>
          <w:szCs w:val="24"/>
          <w:highlight w:val="none"/>
          <w:u w:val="none"/>
        </w:rPr>
        <w:t>乙方如出现医疗事故（由第三方专业机构鉴定）或因不服从学校监督管理而影响服务质量，师生反映严重时，甲方可单方解除合同。</w:t>
      </w:r>
    </w:p>
    <w:p w14:paraId="03E0E0ED">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r>
        <w:rPr>
          <w:rFonts w:ascii="Times New Roman" w:hAnsi="Times New Roman" w:eastAsia="宋体" w:cs="Times New Roman"/>
          <w:b w:val="0"/>
          <w:i w:val="0"/>
          <w:strike w:val="0"/>
          <w:color w:val="auto"/>
          <w:sz w:val="24"/>
          <w:szCs w:val="24"/>
          <w:highlight w:val="none"/>
          <w:u w:val="none"/>
        </w:rPr>
        <w:t>甲方在合同服务期内每年对乙方进行一次集中考核，考核不达标甲方有权单方解除合同。</w:t>
      </w:r>
    </w:p>
    <w:p w14:paraId="229B267C">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w:t>
      </w:r>
      <w:r>
        <w:rPr>
          <w:rFonts w:ascii="Times New Roman" w:hAnsi="Times New Roman" w:eastAsia="宋体" w:cs="Times New Roman"/>
          <w:b w:val="0"/>
          <w:i w:val="0"/>
          <w:strike w:val="0"/>
          <w:color w:val="auto"/>
          <w:sz w:val="24"/>
          <w:szCs w:val="24"/>
          <w:highlight w:val="none"/>
          <w:u w:val="none"/>
        </w:rPr>
        <w:t>师生就诊时，</w:t>
      </w:r>
      <w:r>
        <w:rPr>
          <w:rFonts w:hint="eastAsia" w:ascii="Times New Roman" w:hAnsi="Times New Roman" w:eastAsia="宋体" w:cs="Times New Roman"/>
          <w:b w:val="0"/>
          <w:i w:val="0"/>
          <w:strike w:val="0"/>
          <w:color w:val="auto"/>
          <w:sz w:val="24"/>
          <w:szCs w:val="24"/>
          <w:highlight w:val="none"/>
          <w:u w:val="none"/>
          <w:lang w:val="en-US" w:eastAsia="zh-CN"/>
        </w:rPr>
        <w:t>按南京市医保政策执行</w:t>
      </w:r>
      <w:r>
        <w:rPr>
          <w:rFonts w:ascii="Times New Roman" w:hAnsi="Times New Roman" w:eastAsia="宋体" w:cs="Times New Roman"/>
          <w:b w:val="0"/>
          <w:i w:val="0"/>
          <w:strike w:val="0"/>
          <w:color w:val="auto"/>
          <w:sz w:val="24"/>
          <w:szCs w:val="24"/>
          <w:highlight w:val="none"/>
          <w:u w:val="none"/>
        </w:rPr>
        <w:t>（医保范围外的自费药品，乙方开具处方时须提前告知，费用由就诊师生全额承担）。 处方量执行医保规定。</w:t>
      </w:r>
    </w:p>
    <w:p w14:paraId="53810308">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w:t>
      </w:r>
      <w:r>
        <w:rPr>
          <w:rFonts w:hint="eastAsia" w:ascii="Times New Roman" w:hAnsi="Times New Roman" w:eastAsia="宋体" w:cs="Times New Roman"/>
          <w:b w:val="0"/>
          <w:i w:val="0"/>
          <w:strike w:val="0"/>
          <w:color w:val="auto"/>
          <w:kern w:val="2"/>
          <w:position w:val="0"/>
          <w:sz w:val="24"/>
          <w:szCs w:val="24"/>
          <w:highlight w:val="none"/>
          <w:u w:val="none"/>
          <w:lang w:val="en-US" w:eastAsia="zh-CN" w:bidi="ar-SA"/>
        </w:rPr>
        <w:t>乙方在服务过程中，如调换医护人员需经甲方同意方可调整。</w:t>
      </w:r>
    </w:p>
    <w:p w14:paraId="43C29E99">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第八条  乙方权利和义务</w:t>
      </w:r>
    </w:p>
    <w:p w14:paraId="68AE57E4">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ascii="Times New Roman" w:hAnsi="Times New Roman" w:eastAsia="宋体" w:cs="Times New Roman"/>
          <w:b w:val="0"/>
          <w:i w:val="0"/>
          <w:strike w:val="0"/>
          <w:color w:val="auto"/>
          <w:sz w:val="24"/>
          <w:szCs w:val="24"/>
          <w:highlight w:val="none"/>
          <w:u w:val="none"/>
        </w:rPr>
        <w:t>按照合同约定足额配备符合资质的医务人员。医生、护士等员工资料、信息应提供给甲方备案。按照劳动合同法等相关规定规范用工，所有用工费用或劳动合同争议与甲方无关。</w:t>
      </w:r>
    </w:p>
    <w:p w14:paraId="018B55A0">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按照合同约定和相关规定足额配备常规医疗设备和抢救设施（产权归乙方所有）。确保配备的上述医疗设备符合国家相关卫生标准、质量标准。</w:t>
      </w:r>
      <w:r>
        <w:rPr>
          <w:rFonts w:hint="eastAsia" w:ascii="Times New Roman" w:hAnsi="Times New Roman" w:eastAsia="宋体" w:cs="Times New Roman"/>
          <w:b w:val="0"/>
          <w:i w:val="0"/>
          <w:strike w:val="0"/>
          <w:color w:val="auto"/>
          <w:sz w:val="24"/>
          <w:szCs w:val="24"/>
          <w:highlight w:val="none"/>
          <w:u w:val="none"/>
          <w:lang w:val="en-US" w:eastAsia="zh-CN"/>
        </w:rPr>
        <w:t>如因医疗设备、设施故障、未定期维修或超有效期，导致</w:t>
      </w:r>
      <w:r>
        <w:rPr>
          <w:rFonts w:ascii="Times New Roman" w:hAnsi="Times New Roman" w:eastAsia="宋体" w:cs="Times New Roman"/>
          <w:b w:val="0"/>
          <w:i w:val="0"/>
          <w:strike w:val="0"/>
          <w:color w:val="auto"/>
          <w:sz w:val="24"/>
          <w:szCs w:val="24"/>
          <w:highlight w:val="none"/>
          <w:u w:val="none"/>
        </w:rPr>
        <w:t>诊断、治疗</w:t>
      </w:r>
      <w:r>
        <w:rPr>
          <w:rFonts w:hint="eastAsia" w:ascii="Times New Roman" w:hAnsi="Times New Roman" w:eastAsia="宋体" w:cs="Times New Roman"/>
          <w:b w:val="0"/>
          <w:i w:val="0"/>
          <w:strike w:val="0"/>
          <w:color w:val="auto"/>
          <w:sz w:val="24"/>
          <w:szCs w:val="24"/>
          <w:highlight w:val="none"/>
          <w:u w:val="none"/>
          <w:lang w:val="en-US" w:eastAsia="zh-CN"/>
        </w:rPr>
        <w:t>延误</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产生纠纷</w:t>
      </w:r>
      <w:r>
        <w:rPr>
          <w:rFonts w:ascii="Times New Roman" w:hAnsi="Times New Roman" w:eastAsia="宋体" w:cs="Times New Roman"/>
          <w:b w:val="0"/>
          <w:i w:val="0"/>
          <w:strike w:val="0"/>
          <w:color w:val="auto"/>
          <w:sz w:val="24"/>
          <w:szCs w:val="24"/>
          <w:highlight w:val="none"/>
          <w:u w:val="none"/>
        </w:rPr>
        <w:t>与甲方无关。</w:t>
      </w:r>
    </w:p>
    <w:p w14:paraId="039A3D22">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ascii="Times New Roman" w:hAnsi="Times New Roman" w:eastAsia="宋体" w:cs="Times New Roman"/>
          <w:b w:val="0"/>
          <w:i w:val="0"/>
          <w:strike w:val="0"/>
          <w:color w:val="auto"/>
          <w:sz w:val="24"/>
          <w:szCs w:val="24"/>
          <w:highlight w:val="none"/>
          <w:u w:val="none"/>
        </w:rPr>
        <w:t>按照合同约定和国家对高等学校医疗保健的有关规定和卫生部门对医疗保健管理的相关要求，为甲方提供规范化的医疗卫生服务。主要负责常见病、多发病的诊断、治疗工作。开展常规治疗</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不包含输液</w:t>
      </w:r>
      <w:r>
        <w:rPr>
          <w:rFonts w:hint="eastAsia" w:ascii="Times New Roman" w:hAnsi="Times New Roman" w:eastAsia="宋体" w:cs="Times New Roman"/>
          <w:b w:val="0"/>
          <w:i w:val="0"/>
          <w:strike w:val="0"/>
          <w:color w:val="auto"/>
          <w:sz w:val="24"/>
          <w:szCs w:val="24"/>
          <w:highlight w:val="none"/>
          <w:u w:val="none"/>
          <w:lang w:eastAsia="zh-CN"/>
        </w:rPr>
        <w:t>）</w:t>
      </w:r>
      <w:r>
        <w:rPr>
          <w:rFonts w:ascii="Times New Roman" w:hAnsi="Times New Roman" w:eastAsia="宋体" w:cs="Times New Roman"/>
          <w:b w:val="0"/>
          <w:i w:val="0"/>
          <w:strike w:val="0"/>
          <w:color w:val="auto"/>
          <w:sz w:val="24"/>
          <w:szCs w:val="24"/>
          <w:highlight w:val="none"/>
          <w:u w:val="none"/>
        </w:rPr>
        <w:t>，开展血液、心电图等常规检查业务。对不能救治的急、重症病人应及时转诊，并通知甲方管理部门。</w:t>
      </w:r>
    </w:p>
    <w:p w14:paraId="152A8C85">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r>
        <w:rPr>
          <w:rFonts w:ascii="Times New Roman" w:hAnsi="Times New Roman" w:eastAsia="宋体" w:cs="Times New Roman"/>
          <w:b w:val="0"/>
          <w:i w:val="0"/>
          <w:strike w:val="0"/>
          <w:color w:val="auto"/>
          <w:sz w:val="24"/>
          <w:szCs w:val="24"/>
          <w:highlight w:val="none"/>
          <w:u w:val="none"/>
        </w:rPr>
        <w:t>负责大病就医的绿色通道和合作医疗机构的转接，危急重病人由医护人员陪同就诊，先行治疗，确保安全第一。</w:t>
      </w:r>
    </w:p>
    <w:p w14:paraId="26BDFCBE">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r>
        <w:rPr>
          <w:rFonts w:ascii="Times New Roman" w:hAnsi="Times New Roman" w:eastAsia="宋体" w:cs="Times New Roman"/>
          <w:b w:val="0"/>
          <w:i w:val="0"/>
          <w:strike w:val="0"/>
          <w:color w:val="auto"/>
          <w:sz w:val="24"/>
          <w:szCs w:val="24"/>
          <w:highlight w:val="none"/>
          <w:u w:val="none"/>
        </w:rPr>
        <w:t>建立健全传染病的防控机制和突发公共卫生事件应急预案及时向学校通报传染病信息。负责学校传染病的初级预防、处理、宣传教育、登记、报告工作</w:t>
      </w:r>
      <w:r>
        <w:rPr>
          <w:rFonts w:hint="eastAsia" w:ascii="Times New Roman" w:hAnsi="Times New Roman" w:eastAsia="宋体" w:cs="Times New Roman"/>
          <w:b w:val="0"/>
          <w:i w:val="0"/>
          <w:strike w:val="0"/>
          <w:color w:val="auto"/>
          <w:sz w:val="24"/>
          <w:szCs w:val="24"/>
          <w:highlight w:val="none"/>
          <w:u w:val="none"/>
          <w:lang w:eastAsia="zh-CN"/>
        </w:rPr>
        <w:t>。</w:t>
      </w:r>
    </w:p>
    <w:p w14:paraId="4B292AFD">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b w:val="0"/>
          <w:i w:val="0"/>
          <w:strike w:val="0"/>
          <w:color w:val="auto"/>
          <w:sz w:val="24"/>
          <w:szCs w:val="24"/>
          <w:highlight w:val="none"/>
          <w:u w:val="none"/>
        </w:rPr>
        <w:t>协助甲方做好饮食卫生、教学卫生、环境卫生、宿舍卫生等工作的指导和监督。</w:t>
      </w:r>
    </w:p>
    <w:p w14:paraId="2F486F3D">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r>
        <w:rPr>
          <w:rFonts w:ascii="Times New Roman" w:hAnsi="Times New Roman" w:eastAsia="宋体" w:cs="Times New Roman"/>
          <w:b w:val="0"/>
          <w:i w:val="0"/>
          <w:strike w:val="0"/>
          <w:color w:val="auto"/>
          <w:sz w:val="24"/>
          <w:szCs w:val="24"/>
          <w:highlight w:val="none"/>
          <w:u w:val="none"/>
        </w:rPr>
        <w:t>乙方保证所售药品质量符合国家标准，挂号费为</w:t>
      </w:r>
      <w:r>
        <w:rPr>
          <w:rFonts w:hint="eastAsia" w:ascii="Times New Roman" w:hAnsi="Times New Roman" w:eastAsia="宋体" w:cs="Times New Roman"/>
          <w:b w:val="0"/>
          <w:i w:val="0"/>
          <w:strike w:val="0"/>
          <w:color w:val="auto"/>
          <w:sz w:val="24"/>
          <w:szCs w:val="24"/>
          <w:highlight w:val="none"/>
          <w:u w:val="none"/>
        </w:rPr>
        <w:t>每</w:t>
      </w:r>
      <w:r>
        <w:rPr>
          <w:rFonts w:ascii="Times New Roman" w:hAnsi="Times New Roman" w:eastAsia="宋体" w:cs="Times New Roman"/>
          <w:b w:val="0"/>
          <w:i w:val="0"/>
          <w:strike w:val="0"/>
          <w:color w:val="auto"/>
          <w:sz w:val="24"/>
          <w:szCs w:val="24"/>
          <w:highlight w:val="none"/>
          <w:u w:val="none"/>
        </w:rPr>
        <w:t>次</w:t>
      </w:r>
      <w:r>
        <w:rPr>
          <w:rFonts w:hint="eastAsia" w:ascii="Times New Roman" w:hAnsi="Times New Roman" w:eastAsia="宋体" w:cs="Times New Roman"/>
          <w:b w:val="0"/>
          <w:i w:val="0"/>
          <w:strike w:val="0"/>
          <w:color w:val="auto"/>
          <w:sz w:val="24"/>
          <w:szCs w:val="24"/>
          <w:highlight w:val="none"/>
          <w:u w:val="none"/>
        </w:rPr>
        <w:t>1元</w:t>
      </w:r>
      <w:r>
        <w:rPr>
          <w:rFonts w:ascii="Times New Roman" w:hAnsi="Times New Roman" w:eastAsia="宋体" w:cs="Times New Roman"/>
          <w:b w:val="0"/>
          <w:i w:val="0"/>
          <w:strike w:val="0"/>
          <w:color w:val="auto"/>
          <w:sz w:val="24"/>
          <w:szCs w:val="24"/>
          <w:highlight w:val="none"/>
          <w:u w:val="none"/>
        </w:rPr>
        <w:t>，所售药品执行零差价，不得高于乙方本院药品价格。对常用药品和检查项目明码标价，挂墙公示。不得在卫生所销售禁用药品、伪劣药品以及与医疗无关的产品。</w:t>
      </w:r>
    </w:p>
    <w:p w14:paraId="5E0AD630">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r>
        <w:rPr>
          <w:rFonts w:ascii="Times New Roman" w:hAnsi="Times New Roman" w:eastAsia="宋体" w:cs="Times New Roman"/>
          <w:b w:val="0"/>
          <w:i w:val="0"/>
          <w:strike w:val="0"/>
          <w:color w:val="auto"/>
          <w:sz w:val="24"/>
          <w:szCs w:val="24"/>
          <w:highlight w:val="none"/>
          <w:u w:val="none"/>
        </w:rPr>
        <w:t>协助学校做好健康教育、知识培训等学校公共卫生工作。积极为师生提供健康保健及心理卫生咨询、健康教育等良好的医疗保健措施。</w:t>
      </w:r>
    </w:p>
    <w:p w14:paraId="2D495EDE">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r>
        <w:rPr>
          <w:rFonts w:ascii="Times New Roman" w:hAnsi="Times New Roman" w:eastAsia="宋体" w:cs="Times New Roman"/>
          <w:b w:val="0"/>
          <w:i w:val="0"/>
          <w:strike w:val="0"/>
          <w:color w:val="auto"/>
          <w:sz w:val="24"/>
          <w:szCs w:val="24"/>
          <w:highlight w:val="none"/>
          <w:u w:val="none"/>
        </w:rPr>
        <w:t>卫生所以乙方为独立责任人，不得以甲方名义与第三方签订任何合同（协议）。乙方应对医疗服务技术负责，自主经营与管理，自负盈亏。</w:t>
      </w:r>
    </w:p>
    <w:p w14:paraId="4DB686D4">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w:t>
      </w:r>
      <w:r>
        <w:rPr>
          <w:rFonts w:ascii="Times New Roman" w:hAnsi="Times New Roman" w:eastAsia="宋体" w:cs="Times New Roman"/>
          <w:b w:val="0"/>
          <w:i w:val="0"/>
          <w:strike w:val="0"/>
          <w:color w:val="auto"/>
          <w:sz w:val="24"/>
          <w:szCs w:val="24"/>
          <w:highlight w:val="none"/>
          <w:u w:val="none"/>
        </w:rPr>
        <w:t>乙方不得以任何理由转包他人，并自觉遵守甲方的有关规定，接受甲方监管。</w:t>
      </w:r>
    </w:p>
    <w:p w14:paraId="69B67B2C">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w:t>
      </w:r>
      <w:r>
        <w:rPr>
          <w:rFonts w:ascii="Times New Roman" w:hAnsi="Times New Roman" w:eastAsia="宋体" w:cs="Times New Roman"/>
          <w:b w:val="0"/>
          <w:i w:val="0"/>
          <w:strike w:val="0"/>
          <w:color w:val="auto"/>
          <w:sz w:val="24"/>
          <w:szCs w:val="24"/>
          <w:highlight w:val="none"/>
          <w:u w:val="none"/>
        </w:rPr>
        <w:t>乙方应积极接受国家药检、卫生、物价</w:t>
      </w:r>
      <w:r>
        <w:rPr>
          <w:rFonts w:hint="eastAsia" w:ascii="Times New Roman" w:hAnsi="Times New Roman" w:eastAsia="宋体" w:cs="Times New Roman"/>
          <w:b w:val="0"/>
          <w:i w:val="0"/>
          <w:strike w:val="0"/>
          <w:color w:val="auto"/>
          <w:sz w:val="24"/>
          <w:szCs w:val="24"/>
          <w:highlight w:val="none"/>
          <w:u w:val="none"/>
          <w:lang w:eastAsia="zh-CN"/>
        </w:rPr>
        <w:t>、</w:t>
      </w:r>
      <w:r>
        <w:rPr>
          <w:rFonts w:hint="eastAsia" w:ascii="Times New Roman" w:hAnsi="Times New Roman" w:eastAsia="宋体" w:cs="Times New Roman"/>
          <w:b w:val="0"/>
          <w:i w:val="0"/>
          <w:strike w:val="0"/>
          <w:color w:val="auto"/>
          <w:sz w:val="24"/>
          <w:szCs w:val="24"/>
          <w:highlight w:val="none"/>
          <w:u w:val="none"/>
          <w:lang w:val="en-US" w:eastAsia="zh-CN"/>
        </w:rPr>
        <w:t>医保</w:t>
      </w:r>
      <w:r>
        <w:rPr>
          <w:rFonts w:ascii="Times New Roman" w:hAnsi="Times New Roman" w:eastAsia="宋体" w:cs="Times New Roman"/>
          <w:b w:val="0"/>
          <w:i w:val="0"/>
          <w:strike w:val="0"/>
          <w:color w:val="auto"/>
          <w:sz w:val="24"/>
          <w:szCs w:val="24"/>
          <w:highlight w:val="none"/>
          <w:u w:val="none"/>
        </w:rPr>
        <w:t>等有关职能部门的监督指导。</w:t>
      </w:r>
    </w:p>
    <w:p w14:paraId="4AF2E770">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w:t>
      </w:r>
      <w:r>
        <w:rPr>
          <w:rFonts w:ascii="Times New Roman" w:hAnsi="Times New Roman" w:eastAsia="宋体" w:cs="Times New Roman"/>
          <w:b w:val="0"/>
          <w:i w:val="0"/>
          <w:strike w:val="0"/>
          <w:color w:val="auto"/>
          <w:sz w:val="24"/>
          <w:szCs w:val="24"/>
          <w:highlight w:val="none"/>
          <w:u w:val="none"/>
        </w:rPr>
        <w:t>双方共同建立师生对卫生所医疗水平、服务、环境、收费等项目的满意度调查体系，乙方应根据师生意见和建议不断改进工作。</w:t>
      </w:r>
    </w:p>
    <w:p w14:paraId="44C37DC2">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w:t>
      </w:r>
      <w:r>
        <w:rPr>
          <w:rFonts w:ascii="Times New Roman" w:hAnsi="Times New Roman" w:eastAsia="宋体" w:cs="Times New Roman"/>
          <w:b w:val="0"/>
          <w:i w:val="0"/>
          <w:strike w:val="0"/>
          <w:color w:val="auto"/>
          <w:sz w:val="24"/>
          <w:szCs w:val="24"/>
          <w:highlight w:val="none"/>
          <w:u w:val="none"/>
        </w:rPr>
        <w:t>乙方应建立完整的卫生所诊疗登记档案，所产生的记录、资料、数据属双方所有，乙方应归档保管，乙方不得拒绝甲方管理人员对其查询、检查和影印。合同期满相关档案资料移交甲方保存。</w:t>
      </w:r>
    </w:p>
    <w:p w14:paraId="331B4DA5">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14.</w:t>
      </w:r>
      <w:r>
        <w:rPr>
          <w:rFonts w:ascii="Times New Roman" w:hAnsi="Times New Roman" w:eastAsia="宋体" w:cs="Times New Roman"/>
          <w:b w:val="0"/>
          <w:i w:val="0"/>
          <w:strike w:val="0"/>
          <w:color w:val="auto"/>
          <w:sz w:val="24"/>
          <w:szCs w:val="24"/>
          <w:highlight w:val="none"/>
          <w:u w:val="none"/>
        </w:rPr>
        <w:t>乙方应按卫生部门相关规范，负责对医疗垃圾、医疗废弃物的收集与处理工作。</w:t>
      </w:r>
    </w:p>
    <w:p w14:paraId="1B1DC48B">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第九条  合同解除、终止和责任追究</w:t>
      </w:r>
    </w:p>
    <w:p w14:paraId="0117063F">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hint="eastAsia" w:ascii="Times New Roman" w:hAnsi="Times New Roman" w:eastAsia="宋体" w:cs="Times New Roman"/>
          <w:b w:val="0"/>
          <w:i w:val="0"/>
          <w:strike w:val="0"/>
          <w:color w:val="auto"/>
          <w:sz w:val="24"/>
          <w:szCs w:val="24"/>
          <w:highlight w:val="none"/>
          <w:u w:val="none"/>
        </w:rPr>
        <w:t>服务期限</w:t>
      </w:r>
      <w:r>
        <w:rPr>
          <w:rFonts w:ascii="Times New Roman" w:hAnsi="Times New Roman" w:eastAsia="宋体" w:cs="Times New Roman"/>
          <w:b w:val="0"/>
          <w:i w:val="0"/>
          <w:strike w:val="0"/>
          <w:color w:val="auto"/>
          <w:sz w:val="24"/>
          <w:szCs w:val="24"/>
          <w:highlight w:val="none"/>
          <w:u w:val="none"/>
        </w:rPr>
        <w:t>届满合同自然终止。</w:t>
      </w:r>
    </w:p>
    <w:p w14:paraId="38464E9F">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ascii="Times New Roman" w:hAnsi="Times New Roman" w:eastAsia="宋体" w:cs="Times New Roman"/>
          <w:b w:val="0"/>
          <w:i w:val="0"/>
          <w:strike w:val="0"/>
          <w:color w:val="auto"/>
          <w:sz w:val="24"/>
          <w:szCs w:val="24"/>
          <w:highlight w:val="none"/>
          <w:u w:val="none"/>
        </w:rPr>
        <w:t>因以下原因而解除合同，甲、乙双方应承担自己的损失，责任与对方无涉。托管服务综合管理费按照实际服务时间计算，不足整月的按月计算。</w:t>
      </w:r>
    </w:p>
    <w:p w14:paraId="35F07249">
      <w:pPr>
        <w:keepNext w:val="0"/>
        <w:keepLines w:val="0"/>
        <w:pageBreakBefore w:val="0"/>
        <w:widowControl w:val="0"/>
        <w:tabs>
          <w:tab w:val="left" w:pos="8200"/>
        </w:tabs>
        <w:kinsoku/>
        <w:wordWrap/>
        <w:overflowPunct/>
        <w:topLinePunct w:val="0"/>
        <w:autoSpaceDE/>
        <w:autoSpaceDN/>
        <w:bidi w:val="0"/>
        <w:adjustRightInd/>
        <w:snapToGrid/>
        <w:spacing w:line="360" w:lineRule="auto"/>
        <w:ind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①因不可抗力原因致使本合同不能继续履行或造成的损失。</w:t>
      </w:r>
    </w:p>
    <w:p w14:paraId="0D418610">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②因国家政策需要改造或拆除房屋，使甲、乙双方造成损失。</w:t>
      </w:r>
    </w:p>
    <w:p w14:paraId="3CAF4CAE">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ascii="Times New Roman" w:hAnsi="Times New Roman" w:eastAsia="宋体" w:cs="Times New Roman"/>
          <w:b w:val="0"/>
          <w:i w:val="0"/>
          <w:strike w:val="0"/>
          <w:color w:val="auto"/>
          <w:sz w:val="24"/>
          <w:szCs w:val="24"/>
          <w:highlight w:val="none"/>
          <w:u w:val="none"/>
        </w:rPr>
        <w:t>甲方有以下情形之一的，乙方有权解除合同，甲方应赔偿乙方相应经济损失。</w:t>
      </w:r>
    </w:p>
    <w:p w14:paraId="5DB37CE6">
      <w:pPr>
        <w:keepNext w:val="0"/>
        <w:keepLines w:val="0"/>
        <w:pageBreakBefore w:val="0"/>
        <w:widowControl w:val="0"/>
        <w:tabs>
          <w:tab w:val="left" w:pos="8200"/>
        </w:tabs>
        <w:kinsoku/>
        <w:wordWrap/>
        <w:overflowPunct/>
        <w:topLinePunct w:val="0"/>
        <w:autoSpaceDE/>
        <w:autoSpaceDN/>
        <w:bidi w:val="0"/>
        <w:adjustRightInd/>
        <w:snapToGrid/>
        <w:spacing w:line="360" w:lineRule="auto"/>
        <w:ind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①甲方因房屋权属瑕疵导致乙方无法开展正常工作与经营时。</w:t>
      </w:r>
    </w:p>
    <w:p w14:paraId="41D8061A">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②因不可归责于乙方的原因致使房屋主体部分或全部毁损，严重影响使用的，甲方未尽房屋修缮义务。</w:t>
      </w:r>
    </w:p>
    <w:p w14:paraId="194E114F">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③有第三人对租赁房屋主张权利，影响乙方房屋使用、经济收益的。</w:t>
      </w:r>
    </w:p>
    <w:p w14:paraId="787FE6ED">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④甲方未按合同要求提供的水、电、话、网等基础设施，使乙方无法进行医疗活动。</w:t>
      </w:r>
    </w:p>
    <w:p w14:paraId="6884EC57">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r>
        <w:rPr>
          <w:rFonts w:ascii="Times New Roman" w:hAnsi="Times New Roman" w:eastAsia="宋体" w:cs="Times New Roman"/>
          <w:b w:val="0"/>
          <w:i w:val="0"/>
          <w:strike w:val="0"/>
          <w:color w:val="auto"/>
          <w:sz w:val="24"/>
          <w:szCs w:val="24"/>
          <w:highlight w:val="none"/>
          <w:u w:val="none"/>
        </w:rPr>
        <w:t>乙方有下列行为之一的，甲方有权解除合同，收回卫生所，乙方应赔偿甲方相应经济损失。</w:t>
      </w:r>
    </w:p>
    <w:p w14:paraId="6CFAD251">
      <w:pPr>
        <w:keepNext w:val="0"/>
        <w:keepLines w:val="0"/>
        <w:pageBreakBefore w:val="0"/>
        <w:widowControl w:val="0"/>
        <w:tabs>
          <w:tab w:val="left" w:pos="8200"/>
        </w:tabs>
        <w:kinsoku/>
        <w:wordWrap/>
        <w:overflowPunct/>
        <w:topLinePunct w:val="0"/>
        <w:autoSpaceDE/>
        <w:autoSpaceDN/>
        <w:bidi w:val="0"/>
        <w:adjustRightInd/>
        <w:snapToGrid/>
        <w:spacing w:line="360" w:lineRule="auto"/>
        <w:ind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①未经甲方书面同意，转租（包括部分出租）、转借承租房屋。</w:t>
      </w:r>
    </w:p>
    <w:p w14:paraId="73D91081">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②未经甲方书面同意，改变房屋用途（包括超出经营项目范围）和结构。</w:t>
      </w:r>
    </w:p>
    <w:p w14:paraId="6F9049F6">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③利用承租房屋存放危险物品或进行违法活动。</w:t>
      </w:r>
    </w:p>
    <w:p w14:paraId="0F49417E">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④造成医疗事故。</w:t>
      </w:r>
    </w:p>
    <w:p w14:paraId="4BBEA168">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⑤未按合同相关要求安排医护人员的，经甲方两次以上要求整改，而未达到预期效果。</w:t>
      </w:r>
    </w:p>
    <w:p w14:paraId="35F47F11">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⑥以甲方名义与第三方签订经济、劳动以及各种社会活动合同（协议）。</w:t>
      </w:r>
    </w:p>
    <w:p w14:paraId="549F76AB">
      <w:pPr>
        <w:keepNext w:val="0"/>
        <w:keepLines w:val="0"/>
        <w:pageBreakBefore w:val="0"/>
        <w:widowControl w:val="0"/>
        <w:tabs>
          <w:tab w:val="left" w:pos="8200"/>
        </w:tabs>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⑦由于乙方过失，对甲方造成经济损失或负面影响。</w:t>
      </w:r>
    </w:p>
    <w:p w14:paraId="6FB2F976">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r>
        <w:rPr>
          <w:rFonts w:ascii="Times New Roman" w:hAnsi="Times New Roman" w:eastAsia="宋体" w:cs="Times New Roman"/>
          <w:b w:val="0"/>
          <w:i w:val="0"/>
          <w:strike w:val="0"/>
          <w:color w:val="auto"/>
          <w:sz w:val="24"/>
          <w:szCs w:val="24"/>
          <w:highlight w:val="none"/>
          <w:u w:val="none"/>
        </w:rPr>
        <w:t>合同履行期内，甲、乙任何一方如因其它原因需提前解除合同，须提前60天书面向对方申请，得到对方同意后可以解除合同。</w:t>
      </w:r>
    </w:p>
    <w:p w14:paraId="7C505D27">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b w:val="0"/>
          <w:i w:val="0"/>
          <w:strike w:val="0"/>
          <w:color w:val="auto"/>
          <w:sz w:val="24"/>
          <w:szCs w:val="24"/>
          <w:highlight w:val="none"/>
          <w:u w:val="none"/>
        </w:rPr>
        <w:t>由于乙方管理不善、员工失职而造成的医疗纠纷、医疗事故，由乙方承担全部责任，与甲方无涉。</w:t>
      </w:r>
    </w:p>
    <w:p w14:paraId="4C754C0B">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r>
        <w:rPr>
          <w:rFonts w:ascii="Times New Roman" w:hAnsi="Times New Roman" w:eastAsia="宋体" w:cs="Times New Roman"/>
          <w:b w:val="0"/>
          <w:i w:val="0"/>
          <w:strike w:val="0"/>
          <w:color w:val="auto"/>
          <w:sz w:val="24"/>
          <w:szCs w:val="24"/>
          <w:highlight w:val="none"/>
          <w:u w:val="none"/>
        </w:rPr>
        <w:t>由于乙方以及所聘员工原因对甲方造成负面影响的，乙方应承担法律责任或赔偿由此而造成的经济损失。</w:t>
      </w:r>
    </w:p>
    <w:p w14:paraId="24D1395B">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r>
        <w:rPr>
          <w:rFonts w:ascii="Times New Roman" w:hAnsi="Times New Roman" w:eastAsia="宋体" w:cs="Times New Roman"/>
          <w:b w:val="0"/>
          <w:i w:val="0"/>
          <w:strike w:val="0"/>
          <w:color w:val="auto"/>
          <w:sz w:val="24"/>
          <w:szCs w:val="24"/>
          <w:highlight w:val="none"/>
          <w:u w:val="none"/>
        </w:rPr>
        <w:t>乙方服务未达协议要求，未按甲方要求整改到位的，每次追究服务总费用1%的违约金。</w:t>
      </w:r>
    </w:p>
    <w:p w14:paraId="4D621DC5">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第十条  补充材料、合同附件的效力</w:t>
      </w:r>
    </w:p>
    <w:p w14:paraId="63C98FAA">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Times New Roman" w:hAnsi="Times New Roman" w:eastAsia="宋体" w:cs="Times New Roman"/>
          <w:b w:val="0"/>
          <w:i w:val="0"/>
          <w:strike w:val="0"/>
          <w:color w:val="auto"/>
          <w:sz w:val="24"/>
          <w:szCs w:val="24"/>
          <w:highlight w:val="none"/>
          <w:u w:val="none"/>
        </w:rPr>
        <w:t>本合同未尽事宜，经双方协商，做作出补充规定。</w:t>
      </w:r>
      <w:r>
        <w:rPr>
          <w:rFonts w:hint="eastAsia" w:ascii="Times New Roman" w:hAnsi="Times New Roman" w:eastAsia="宋体" w:cs="Times New Roman"/>
          <w:b w:val="0"/>
          <w:i w:val="0"/>
          <w:strike w:val="0"/>
          <w:color w:val="auto"/>
          <w:sz w:val="24"/>
          <w:szCs w:val="24"/>
          <w:highlight w:val="none"/>
          <w:u w:val="none"/>
          <w:lang w:val="en-US" w:eastAsia="zh-CN"/>
        </w:rPr>
        <w:t>合同附件作为合同的有效组成部分。</w:t>
      </w:r>
      <w:r>
        <w:rPr>
          <w:rFonts w:hint="eastAsia" w:ascii="Times New Roman" w:hAnsi="Times New Roman" w:eastAsia="宋体" w:cs="Times New Roman"/>
          <w:b w:val="0"/>
          <w:i w:val="0"/>
          <w:strike w:val="0"/>
          <w:color w:val="auto"/>
          <w:sz w:val="24"/>
          <w:szCs w:val="24"/>
          <w:highlight w:val="none"/>
          <w:u w:val="none"/>
        </w:rPr>
        <w:t>与合同有关的补充规定</w:t>
      </w:r>
      <w:r>
        <w:rPr>
          <w:rFonts w:hint="eastAsia" w:ascii="Times New Roman" w:hAnsi="Times New Roman" w:eastAsia="宋体" w:cs="Times New Roman"/>
          <w:b w:val="0"/>
          <w:i w:val="0"/>
          <w:strike w:val="0"/>
          <w:color w:val="auto"/>
          <w:sz w:val="24"/>
          <w:szCs w:val="24"/>
          <w:highlight w:val="none"/>
          <w:u w:val="none"/>
          <w:lang w:val="en-US" w:eastAsia="zh-CN"/>
        </w:rPr>
        <w:t>和合同附件</w:t>
      </w:r>
      <w:r>
        <w:rPr>
          <w:rFonts w:hint="eastAsia" w:ascii="Times New Roman" w:hAnsi="Times New Roman" w:eastAsia="宋体" w:cs="Times New Roman"/>
          <w:b w:val="0"/>
          <w:i w:val="0"/>
          <w:strike w:val="0"/>
          <w:color w:val="auto"/>
          <w:sz w:val="24"/>
          <w:szCs w:val="24"/>
          <w:highlight w:val="none"/>
          <w:u w:val="none"/>
        </w:rPr>
        <w:t>与本合同有同等法律效力。</w:t>
      </w:r>
    </w:p>
    <w:p w14:paraId="52E2A1C1">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第十一条  合同纠纷的解决方式</w:t>
      </w:r>
    </w:p>
    <w:p w14:paraId="68CDA8FB">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Times New Roman" w:hAnsi="Times New Roman" w:eastAsia="宋体" w:cs="Times New Roman"/>
          <w:b w:val="0"/>
          <w:i w:val="0"/>
          <w:strike w:val="0"/>
          <w:color w:val="auto"/>
          <w:sz w:val="24"/>
          <w:szCs w:val="24"/>
          <w:highlight w:val="none"/>
          <w:u w:val="none"/>
        </w:rPr>
        <w:t>本合同如发生纠纷，甲乙双方应友好协商。协商不成的，双方均有权向甲方所在地的人民法院起诉。</w:t>
      </w:r>
    </w:p>
    <w:p w14:paraId="48A46573">
      <w:pPr>
        <w:keepNext w:val="0"/>
        <w:keepLines w:val="0"/>
        <w:pageBreakBefore w:val="0"/>
        <w:widowControl w:val="0"/>
        <w:kinsoku/>
        <w:wordWrap/>
        <w:overflowPunct/>
        <w:topLinePunct w:val="0"/>
        <w:autoSpaceDE/>
        <w:autoSpaceDN/>
        <w:bidi w:val="0"/>
        <w:adjustRightInd/>
        <w:snapToGrid/>
        <w:spacing w:before="120" w:line="360" w:lineRule="auto"/>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第十二条  合同生效</w:t>
      </w:r>
    </w:p>
    <w:p w14:paraId="4DDDC4A6">
      <w:pPr>
        <w:keepNext w:val="0"/>
        <w:keepLines w:val="0"/>
        <w:pageBreakBefore w:val="0"/>
        <w:widowControl w:val="0"/>
        <w:kinsoku/>
        <w:wordWrap/>
        <w:overflowPunct/>
        <w:topLinePunct w:val="0"/>
        <w:autoSpaceDE/>
        <w:autoSpaceDN/>
        <w:bidi w:val="0"/>
        <w:adjustRightInd/>
        <w:snapToGrid/>
        <w:spacing w:after="120" w:line="360" w:lineRule="auto"/>
        <w:ind w:left="0" w:leftChars="0" w:firstLine="480" w:firstLineChars="200"/>
        <w:jc w:val="both"/>
        <w:textAlignment w:val="auto"/>
        <w:rPr>
          <w:rFonts w:hint="eastAsia" w:ascii="宋体" w:hAnsi="宋体" w:eastAsia="宋体" w:cs="宋体"/>
          <w:sz w:val="24"/>
          <w:szCs w:val="24"/>
          <w:lang w:val="en-US" w:eastAsia="zh-CN" w:bidi="ar-SA"/>
        </w:rPr>
      </w:pPr>
      <w:r>
        <w:rPr>
          <w:rFonts w:hint="eastAsia" w:ascii="Times New Roman" w:hAnsi="Times New Roman" w:eastAsia="宋体" w:cs="Times New Roman"/>
          <w:b w:val="0"/>
          <w:i w:val="0"/>
          <w:strike w:val="0"/>
          <w:color w:val="auto"/>
          <w:sz w:val="24"/>
          <w:szCs w:val="24"/>
          <w:highlight w:val="none"/>
          <w:u w:val="none"/>
        </w:rPr>
        <w:t>本合同一式陆份，甲方肆份、乙方贰份，经双方签字盖章之日起生效，合同期满自然终止。乙方负责向医疗主管部门报备合同。</w:t>
      </w:r>
    </w:p>
    <w:p w14:paraId="6873851C">
      <w:pPr>
        <w:adjustRightInd w:val="0"/>
        <w:snapToGrid w:val="0"/>
        <w:spacing w:after="120" w:line="360" w:lineRule="auto"/>
        <w:ind w:firstLine="480" w:firstLineChars="200"/>
        <w:jc w:val="both"/>
        <w:rPr>
          <w:rFonts w:ascii="Times New Roman" w:hAnsi="Times New Roman" w:eastAsia="宋体" w:cs="Times New Roman"/>
          <w:b w:val="0"/>
          <w:i w:val="0"/>
          <w:strike w:val="0"/>
          <w:color w:val="auto"/>
          <w:sz w:val="24"/>
          <w:szCs w:val="32"/>
          <w:highlight w:val="none"/>
          <w:u w:val="none"/>
        </w:rPr>
      </w:pPr>
    </w:p>
    <w:p w14:paraId="204AFC05">
      <w:pPr>
        <w:adjustRightInd w:val="0"/>
        <w:snapToGrid w:val="0"/>
        <w:spacing w:line="56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甲方：（盖章）              乙方：（盖章）</w:t>
      </w:r>
    </w:p>
    <w:p w14:paraId="2F0125AB">
      <w:pPr>
        <w:adjustRightInd w:val="0"/>
        <w:snapToGrid w:val="0"/>
        <w:spacing w:line="56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法定代表人：                法定代表人：               </w:t>
      </w:r>
    </w:p>
    <w:p w14:paraId="01772BD8">
      <w:pPr>
        <w:adjustRightInd w:val="0"/>
        <w:snapToGrid w:val="0"/>
        <w:spacing w:line="56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地址:                       地址: </w:t>
      </w:r>
    </w:p>
    <w:p w14:paraId="76D64949">
      <w:pPr>
        <w:pStyle w:val="30"/>
        <w:ind w:left="0" w:leftChars="0" w:firstLine="0" w:firstLineChars="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日期：     年  月  日       日期：    年  月  日 </w:t>
      </w:r>
    </w:p>
    <w:p w14:paraId="7536B234">
      <w:pPr>
        <w:pStyle w:val="30"/>
        <w:ind w:left="0" w:leftChars="0" w:firstLine="0" w:firstLineChars="0"/>
        <w:rPr>
          <w:rFonts w:hint="eastAsia" w:ascii="宋体" w:hAnsi="宋体" w:eastAsia="宋体" w:cs="宋体"/>
          <w:color w:val="auto"/>
          <w:kern w:val="2"/>
          <w:position w:val="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 </w:t>
      </w:r>
    </w:p>
    <w:p w14:paraId="13D106F0">
      <w:pP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br w:type="page"/>
      </w:r>
    </w:p>
    <w:p w14:paraId="6E66E229">
      <w:pPr>
        <w:widowControl/>
        <w:adjustRightInd w:val="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rPr>
        <w:t>附件：</w:t>
      </w:r>
      <w:r>
        <w:rPr>
          <w:rFonts w:hint="eastAsia" w:ascii="宋体" w:hAnsi="宋体" w:eastAsia="宋体" w:cs="宋体"/>
          <w:sz w:val="24"/>
          <w:szCs w:val="24"/>
          <w:highlight w:val="none"/>
        </w:rPr>
        <w:t>一览表</w:t>
      </w:r>
    </w:p>
    <w:tbl>
      <w:tblPr>
        <w:tblStyle w:val="31"/>
        <w:tblW w:w="9173" w:type="dxa"/>
        <w:jc w:val="center"/>
        <w:tblLayout w:type="autofit"/>
        <w:tblCellMar>
          <w:top w:w="0" w:type="dxa"/>
          <w:left w:w="108" w:type="dxa"/>
          <w:bottom w:w="0" w:type="dxa"/>
          <w:right w:w="108" w:type="dxa"/>
        </w:tblCellMar>
      </w:tblPr>
      <w:tblGrid>
        <w:gridCol w:w="662"/>
        <w:gridCol w:w="663"/>
        <w:gridCol w:w="663"/>
        <w:gridCol w:w="663"/>
        <w:gridCol w:w="663"/>
        <w:gridCol w:w="663"/>
        <w:gridCol w:w="1080"/>
        <w:gridCol w:w="872"/>
        <w:gridCol w:w="1080"/>
        <w:gridCol w:w="1497"/>
        <w:gridCol w:w="667"/>
      </w:tblGrid>
      <w:tr w14:paraId="07EF1BE5">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7CE5517">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序号</w:t>
            </w:r>
          </w:p>
        </w:tc>
        <w:tc>
          <w:tcPr>
            <w:tcW w:w="0" w:type="auto"/>
            <w:tcBorders>
              <w:top w:val="single" w:color="000000" w:sz="4" w:space="0"/>
              <w:left w:val="nil"/>
              <w:bottom w:val="single" w:color="000000" w:sz="4" w:space="0"/>
              <w:right w:val="single" w:color="000000" w:sz="4" w:space="0"/>
            </w:tcBorders>
            <w:noWrap w:val="0"/>
            <w:vAlign w:val="center"/>
          </w:tcPr>
          <w:p w14:paraId="67CCFC92">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姓名</w:t>
            </w:r>
          </w:p>
        </w:tc>
        <w:tc>
          <w:tcPr>
            <w:tcW w:w="0" w:type="auto"/>
            <w:tcBorders>
              <w:top w:val="single" w:color="000000" w:sz="4" w:space="0"/>
              <w:left w:val="nil"/>
              <w:bottom w:val="single" w:color="000000" w:sz="4" w:space="0"/>
              <w:right w:val="single" w:color="000000" w:sz="4" w:space="0"/>
            </w:tcBorders>
            <w:noWrap w:val="0"/>
            <w:vAlign w:val="center"/>
          </w:tcPr>
          <w:p w14:paraId="392B728B">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性别</w:t>
            </w:r>
          </w:p>
        </w:tc>
        <w:tc>
          <w:tcPr>
            <w:tcW w:w="0" w:type="auto"/>
            <w:tcBorders>
              <w:top w:val="single" w:color="000000" w:sz="4" w:space="0"/>
              <w:left w:val="nil"/>
              <w:bottom w:val="single" w:color="000000" w:sz="4" w:space="0"/>
              <w:right w:val="single" w:color="000000" w:sz="4" w:space="0"/>
            </w:tcBorders>
            <w:noWrap w:val="0"/>
            <w:vAlign w:val="center"/>
          </w:tcPr>
          <w:p w14:paraId="6C0FF7B8">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年龄</w:t>
            </w:r>
          </w:p>
        </w:tc>
        <w:tc>
          <w:tcPr>
            <w:tcW w:w="0" w:type="auto"/>
            <w:tcBorders>
              <w:top w:val="single" w:color="000000" w:sz="4" w:space="0"/>
              <w:left w:val="nil"/>
              <w:bottom w:val="single" w:color="000000" w:sz="4" w:space="0"/>
              <w:right w:val="single" w:color="000000" w:sz="4" w:space="0"/>
            </w:tcBorders>
            <w:noWrap w:val="0"/>
            <w:vAlign w:val="center"/>
          </w:tcPr>
          <w:p w14:paraId="45FF4007">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专业</w:t>
            </w:r>
          </w:p>
        </w:tc>
        <w:tc>
          <w:tcPr>
            <w:tcW w:w="0" w:type="auto"/>
            <w:tcBorders>
              <w:top w:val="single" w:color="000000" w:sz="4" w:space="0"/>
              <w:left w:val="nil"/>
              <w:bottom w:val="single" w:color="000000" w:sz="4" w:space="0"/>
              <w:right w:val="single" w:color="000000" w:sz="4" w:space="0"/>
            </w:tcBorders>
            <w:noWrap w:val="0"/>
            <w:vAlign w:val="center"/>
          </w:tcPr>
          <w:p w14:paraId="2EEAD502">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学历</w:t>
            </w:r>
          </w:p>
        </w:tc>
        <w:tc>
          <w:tcPr>
            <w:tcW w:w="0" w:type="auto"/>
            <w:tcBorders>
              <w:top w:val="single" w:color="000000" w:sz="4" w:space="0"/>
              <w:left w:val="nil"/>
              <w:bottom w:val="single" w:color="000000" w:sz="4" w:space="0"/>
              <w:right w:val="single" w:color="000000" w:sz="4" w:space="0"/>
            </w:tcBorders>
            <w:noWrap w:val="0"/>
            <w:vAlign w:val="center"/>
          </w:tcPr>
          <w:p w14:paraId="00780DBC">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执业资格</w:t>
            </w:r>
          </w:p>
        </w:tc>
        <w:tc>
          <w:tcPr>
            <w:tcW w:w="0" w:type="auto"/>
            <w:tcBorders>
              <w:top w:val="single" w:color="000000" w:sz="4" w:space="0"/>
              <w:left w:val="nil"/>
              <w:bottom w:val="single" w:color="000000" w:sz="4" w:space="0"/>
              <w:right w:val="single" w:color="000000" w:sz="4" w:space="0"/>
            </w:tcBorders>
            <w:noWrap w:val="0"/>
            <w:vAlign w:val="center"/>
          </w:tcPr>
          <w:p w14:paraId="6A0CC39E">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证书号</w:t>
            </w:r>
          </w:p>
        </w:tc>
        <w:tc>
          <w:tcPr>
            <w:tcW w:w="0" w:type="auto"/>
            <w:tcBorders>
              <w:top w:val="single" w:color="000000" w:sz="4" w:space="0"/>
              <w:left w:val="nil"/>
              <w:bottom w:val="single" w:color="000000" w:sz="4" w:space="0"/>
              <w:right w:val="single" w:color="000000" w:sz="4" w:space="0"/>
            </w:tcBorders>
            <w:noWrap w:val="0"/>
            <w:vAlign w:val="center"/>
          </w:tcPr>
          <w:p w14:paraId="78DB680B">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技术职称</w:t>
            </w:r>
          </w:p>
        </w:tc>
        <w:tc>
          <w:tcPr>
            <w:tcW w:w="0" w:type="auto"/>
            <w:tcBorders>
              <w:top w:val="single" w:color="000000" w:sz="4" w:space="0"/>
              <w:left w:val="nil"/>
              <w:bottom w:val="single" w:color="000000" w:sz="4" w:space="0"/>
              <w:right w:val="single" w:color="000000" w:sz="4" w:space="0"/>
            </w:tcBorders>
            <w:noWrap w:val="0"/>
            <w:vAlign w:val="center"/>
          </w:tcPr>
          <w:p w14:paraId="676EDDDC">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相关工作年限</w:t>
            </w:r>
          </w:p>
        </w:tc>
        <w:tc>
          <w:tcPr>
            <w:tcW w:w="667" w:type="dxa"/>
            <w:tcBorders>
              <w:top w:val="single" w:color="000000" w:sz="4" w:space="0"/>
              <w:left w:val="nil"/>
              <w:bottom w:val="single" w:color="000000" w:sz="4" w:space="0"/>
              <w:right w:val="single" w:color="000000" w:sz="4" w:space="0"/>
            </w:tcBorders>
            <w:noWrap w:val="0"/>
            <w:vAlign w:val="center"/>
          </w:tcPr>
          <w:p w14:paraId="3CCE7629">
            <w:pPr>
              <w:widowControl/>
              <w:adjustRightInd w:val="0"/>
              <w:snapToGrid w:val="0"/>
              <w:ind w:left="0" w:leftChars="0" w:right="0" w:rightChars="0" w:firstLine="0" w:firstLineChars="0"/>
              <w:jc w:val="center"/>
              <w:rPr>
                <w:rFonts w:ascii="宋体" w:hAnsi="宋体"/>
                <w:b/>
                <w:bCs/>
                <w:kern w:val="0"/>
                <w:sz w:val="24"/>
                <w:szCs w:val="24"/>
                <w:highlight w:val="none"/>
              </w:rPr>
            </w:pPr>
            <w:r>
              <w:rPr>
                <w:rFonts w:hint="eastAsia" w:ascii="宋体" w:hAnsi="宋体"/>
                <w:b/>
                <w:bCs/>
                <w:kern w:val="0"/>
                <w:sz w:val="24"/>
                <w:szCs w:val="24"/>
                <w:highlight w:val="none"/>
              </w:rPr>
              <w:t>备注</w:t>
            </w:r>
          </w:p>
        </w:tc>
      </w:tr>
      <w:tr w14:paraId="50C36F44">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FBCBD24">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716FA4F">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201B102E">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57735A5">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669B004">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02C09776">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6621B6F8">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07BE67C5">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64DAC2D3">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5401A88C">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7" w:type="dxa"/>
            <w:tcBorders>
              <w:top w:val="single" w:color="000000" w:sz="4" w:space="0"/>
              <w:left w:val="nil"/>
              <w:bottom w:val="single" w:color="000000" w:sz="4" w:space="0"/>
              <w:right w:val="single" w:color="000000" w:sz="4" w:space="0"/>
            </w:tcBorders>
            <w:noWrap w:val="0"/>
            <w:vAlign w:val="center"/>
          </w:tcPr>
          <w:p w14:paraId="4E594F33">
            <w:pPr>
              <w:widowControl/>
              <w:adjustRightInd w:val="0"/>
              <w:snapToGrid w:val="0"/>
              <w:ind w:left="0" w:leftChars="0" w:right="0" w:rightChars="0" w:firstLine="0" w:firstLineChars="0"/>
              <w:jc w:val="center"/>
              <w:rPr>
                <w:rFonts w:ascii="宋体" w:hAnsi="宋体"/>
                <w:kern w:val="0"/>
                <w:sz w:val="24"/>
                <w:szCs w:val="24"/>
                <w:highlight w:val="none"/>
              </w:rPr>
            </w:pPr>
          </w:p>
        </w:tc>
      </w:tr>
      <w:tr w14:paraId="601F7EE8">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5E916EB">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9828A40">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27EE3A14">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75806122">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7AD2BDA8">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647183E4">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06EADCB0">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60550504">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29F7362B">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D49A8DD">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7" w:type="dxa"/>
            <w:tcBorders>
              <w:top w:val="single" w:color="000000" w:sz="4" w:space="0"/>
              <w:left w:val="nil"/>
              <w:bottom w:val="single" w:color="000000" w:sz="4" w:space="0"/>
              <w:right w:val="single" w:color="000000" w:sz="4" w:space="0"/>
            </w:tcBorders>
            <w:noWrap w:val="0"/>
            <w:vAlign w:val="center"/>
          </w:tcPr>
          <w:p w14:paraId="017674C4">
            <w:pPr>
              <w:widowControl/>
              <w:adjustRightInd w:val="0"/>
              <w:snapToGrid w:val="0"/>
              <w:ind w:left="0" w:leftChars="0" w:right="0" w:rightChars="0" w:firstLine="0" w:firstLineChars="0"/>
              <w:jc w:val="center"/>
              <w:rPr>
                <w:rFonts w:ascii="宋体" w:hAnsi="宋体"/>
                <w:kern w:val="0"/>
                <w:sz w:val="24"/>
                <w:szCs w:val="24"/>
                <w:highlight w:val="none"/>
              </w:rPr>
            </w:pPr>
          </w:p>
        </w:tc>
      </w:tr>
      <w:tr w14:paraId="4DB6F92C">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4C69E31">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2A709B68">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54738EDB">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51DC4B0">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1283869">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B255370">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4B3F51F">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2CCB171D">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570AA60A">
            <w:pPr>
              <w:widowControl/>
              <w:adjustRightInd w:val="0"/>
              <w:snapToGrid w:val="0"/>
              <w:ind w:left="0" w:leftChars="0" w:right="0" w:rightChars="0" w:firstLine="0" w:firstLineChars="0"/>
              <w:jc w:val="center"/>
              <w:rPr>
                <w:rFonts w:ascii="宋体" w:hAnsi="宋体"/>
                <w:kern w:val="0"/>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800DF4E">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7" w:type="dxa"/>
            <w:tcBorders>
              <w:top w:val="single" w:color="000000" w:sz="4" w:space="0"/>
              <w:left w:val="nil"/>
              <w:bottom w:val="single" w:color="000000" w:sz="4" w:space="0"/>
              <w:right w:val="single" w:color="000000" w:sz="4" w:space="0"/>
            </w:tcBorders>
            <w:noWrap w:val="0"/>
            <w:vAlign w:val="center"/>
          </w:tcPr>
          <w:p w14:paraId="2A836292">
            <w:pPr>
              <w:widowControl/>
              <w:adjustRightInd w:val="0"/>
              <w:snapToGrid w:val="0"/>
              <w:ind w:left="0" w:leftChars="0" w:right="0" w:rightChars="0" w:firstLine="0" w:firstLineChars="0"/>
              <w:jc w:val="center"/>
              <w:rPr>
                <w:rFonts w:ascii="宋体" w:hAnsi="宋体"/>
                <w:kern w:val="0"/>
                <w:sz w:val="24"/>
                <w:szCs w:val="24"/>
                <w:highlight w:val="none"/>
              </w:rPr>
            </w:pPr>
          </w:p>
        </w:tc>
      </w:tr>
      <w:tr w14:paraId="5E3AA4C0">
        <w:tblPrEx>
          <w:tblCellMar>
            <w:top w:w="0" w:type="dxa"/>
            <w:left w:w="108" w:type="dxa"/>
            <w:bottom w:w="0" w:type="dxa"/>
            <w:right w:w="108" w:type="dxa"/>
          </w:tblCellMar>
        </w:tblPrEx>
        <w:trPr>
          <w:trHeight w:val="0" w:hRule="atLeast"/>
          <w:jc w:val="center"/>
        </w:trPr>
        <w:tc>
          <w:tcPr>
            <w:tcW w:w="662" w:type="dxa"/>
            <w:tcBorders>
              <w:top w:val="single" w:color="000000" w:sz="4" w:space="0"/>
              <w:left w:val="single" w:color="000000" w:sz="4" w:space="0"/>
              <w:bottom w:val="single" w:color="000000" w:sz="4" w:space="0"/>
              <w:right w:val="single" w:color="000000" w:sz="4" w:space="0"/>
            </w:tcBorders>
            <w:noWrap w:val="0"/>
            <w:vAlign w:val="center"/>
          </w:tcPr>
          <w:p w14:paraId="4652BAFD">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3" w:type="dxa"/>
            <w:tcBorders>
              <w:top w:val="single" w:color="000000" w:sz="4" w:space="0"/>
              <w:left w:val="nil"/>
              <w:bottom w:val="single" w:color="000000" w:sz="4" w:space="0"/>
              <w:right w:val="single" w:color="000000" w:sz="4" w:space="0"/>
            </w:tcBorders>
            <w:noWrap w:val="0"/>
            <w:vAlign w:val="center"/>
          </w:tcPr>
          <w:p w14:paraId="293149B7">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3" w:type="dxa"/>
            <w:tcBorders>
              <w:top w:val="single" w:color="000000" w:sz="4" w:space="0"/>
              <w:left w:val="nil"/>
              <w:bottom w:val="single" w:color="000000" w:sz="4" w:space="0"/>
              <w:right w:val="single" w:color="000000" w:sz="4" w:space="0"/>
            </w:tcBorders>
            <w:noWrap w:val="0"/>
            <w:vAlign w:val="center"/>
          </w:tcPr>
          <w:p w14:paraId="507C1377">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3" w:type="dxa"/>
            <w:tcBorders>
              <w:top w:val="single" w:color="000000" w:sz="4" w:space="0"/>
              <w:left w:val="nil"/>
              <w:bottom w:val="single" w:color="000000" w:sz="4" w:space="0"/>
              <w:right w:val="single" w:color="000000" w:sz="4" w:space="0"/>
            </w:tcBorders>
            <w:noWrap w:val="0"/>
            <w:vAlign w:val="center"/>
          </w:tcPr>
          <w:p w14:paraId="68B03161">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3" w:type="dxa"/>
            <w:tcBorders>
              <w:top w:val="single" w:color="000000" w:sz="4" w:space="0"/>
              <w:left w:val="nil"/>
              <w:bottom w:val="single" w:color="000000" w:sz="4" w:space="0"/>
              <w:right w:val="single" w:color="000000" w:sz="4" w:space="0"/>
            </w:tcBorders>
            <w:noWrap w:val="0"/>
            <w:vAlign w:val="center"/>
          </w:tcPr>
          <w:p w14:paraId="36EFB9A6">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3" w:type="dxa"/>
            <w:tcBorders>
              <w:top w:val="single" w:color="000000" w:sz="4" w:space="0"/>
              <w:left w:val="nil"/>
              <w:bottom w:val="single" w:color="000000" w:sz="4" w:space="0"/>
              <w:right w:val="single" w:color="000000" w:sz="4" w:space="0"/>
            </w:tcBorders>
            <w:noWrap w:val="0"/>
            <w:vAlign w:val="center"/>
          </w:tcPr>
          <w:p w14:paraId="404BAC75">
            <w:pPr>
              <w:widowControl/>
              <w:adjustRightInd w:val="0"/>
              <w:snapToGrid w:val="0"/>
              <w:ind w:left="0" w:leftChars="0" w:right="0" w:rightChars="0" w:firstLine="0" w:firstLineChars="0"/>
              <w:jc w:val="center"/>
              <w:rPr>
                <w:rFonts w:ascii="宋体" w:hAnsi="宋体"/>
                <w:kern w:val="0"/>
                <w:sz w:val="24"/>
                <w:szCs w:val="24"/>
                <w:highlight w:val="none"/>
              </w:rPr>
            </w:pPr>
          </w:p>
        </w:tc>
        <w:tc>
          <w:tcPr>
            <w:tcW w:w="1080" w:type="dxa"/>
            <w:tcBorders>
              <w:top w:val="single" w:color="000000" w:sz="4" w:space="0"/>
              <w:left w:val="nil"/>
              <w:bottom w:val="single" w:color="000000" w:sz="4" w:space="0"/>
              <w:right w:val="single" w:color="000000" w:sz="4" w:space="0"/>
            </w:tcBorders>
            <w:noWrap w:val="0"/>
            <w:vAlign w:val="center"/>
          </w:tcPr>
          <w:p w14:paraId="4D4DD2BB">
            <w:pPr>
              <w:widowControl/>
              <w:adjustRightInd w:val="0"/>
              <w:snapToGrid w:val="0"/>
              <w:ind w:left="0" w:leftChars="0" w:right="0" w:rightChars="0" w:firstLine="0" w:firstLineChars="0"/>
              <w:jc w:val="center"/>
              <w:rPr>
                <w:rFonts w:ascii="宋体" w:hAnsi="宋体"/>
                <w:kern w:val="0"/>
                <w:sz w:val="24"/>
                <w:szCs w:val="24"/>
                <w:highlight w:val="none"/>
              </w:rPr>
            </w:pPr>
          </w:p>
        </w:tc>
        <w:tc>
          <w:tcPr>
            <w:tcW w:w="872" w:type="dxa"/>
            <w:tcBorders>
              <w:top w:val="single" w:color="000000" w:sz="4" w:space="0"/>
              <w:left w:val="nil"/>
              <w:bottom w:val="single" w:color="000000" w:sz="4" w:space="0"/>
              <w:right w:val="single" w:color="000000" w:sz="4" w:space="0"/>
            </w:tcBorders>
            <w:noWrap w:val="0"/>
            <w:vAlign w:val="center"/>
          </w:tcPr>
          <w:p w14:paraId="68E9199A">
            <w:pPr>
              <w:widowControl/>
              <w:adjustRightInd w:val="0"/>
              <w:snapToGrid w:val="0"/>
              <w:ind w:left="0" w:leftChars="0" w:right="0" w:rightChars="0" w:firstLine="0" w:firstLineChars="0"/>
              <w:jc w:val="center"/>
              <w:rPr>
                <w:rFonts w:ascii="宋体" w:hAnsi="宋体"/>
                <w:kern w:val="0"/>
                <w:sz w:val="24"/>
                <w:szCs w:val="24"/>
                <w:highlight w:val="none"/>
              </w:rPr>
            </w:pPr>
          </w:p>
        </w:tc>
        <w:tc>
          <w:tcPr>
            <w:tcW w:w="1080" w:type="dxa"/>
            <w:tcBorders>
              <w:top w:val="single" w:color="000000" w:sz="4" w:space="0"/>
              <w:left w:val="nil"/>
              <w:bottom w:val="single" w:color="000000" w:sz="4" w:space="0"/>
              <w:right w:val="single" w:color="000000" w:sz="4" w:space="0"/>
            </w:tcBorders>
            <w:noWrap w:val="0"/>
            <w:vAlign w:val="center"/>
          </w:tcPr>
          <w:p w14:paraId="2337A9CC">
            <w:pPr>
              <w:widowControl/>
              <w:adjustRightInd w:val="0"/>
              <w:snapToGrid w:val="0"/>
              <w:ind w:left="0" w:leftChars="0" w:right="0" w:rightChars="0" w:firstLine="0" w:firstLineChars="0"/>
              <w:jc w:val="center"/>
              <w:rPr>
                <w:rFonts w:ascii="宋体" w:hAnsi="宋体"/>
                <w:kern w:val="0"/>
                <w:sz w:val="24"/>
                <w:szCs w:val="24"/>
                <w:highlight w:val="none"/>
              </w:rPr>
            </w:pPr>
          </w:p>
        </w:tc>
        <w:tc>
          <w:tcPr>
            <w:tcW w:w="1497" w:type="dxa"/>
            <w:tcBorders>
              <w:top w:val="single" w:color="000000" w:sz="4" w:space="0"/>
              <w:left w:val="nil"/>
              <w:bottom w:val="single" w:color="000000" w:sz="4" w:space="0"/>
              <w:right w:val="single" w:color="000000" w:sz="4" w:space="0"/>
            </w:tcBorders>
            <w:noWrap w:val="0"/>
            <w:vAlign w:val="center"/>
          </w:tcPr>
          <w:p w14:paraId="45E130BE">
            <w:pPr>
              <w:widowControl/>
              <w:adjustRightInd w:val="0"/>
              <w:snapToGrid w:val="0"/>
              <w:ind w:left="0" w:leftChars="0" w:right="0" w:rightChars="0" w:firstLine="0" w:firstLineChars="0"/>
              <w:jc w:val="center"/>
              <w:rPr>
                <w:rFonts w:ascii="宋体" w:hAnsi="宋体"/>
                <w:kern w:val="0"/>
                <w:sz w:val="24"/>
                <w:szCs w:val="24"/>
                <w:highlight w:val="none"/>
              </w:rPr>
            </w:pPr>
          </w:p>
        </w:tc>
        <w:tc>
          <w:tcPr>
            <w:tcW w:w="667" w:type="dxa"/>
            <w:tcBorders>
              <w:top w:val="single" w:color="000000" w:sz="4" w:space="0"/>
              <w:left w:val="nil"/>
              <w:bottom w:val="single" w:color="000000" w:sz="4" w:space="0"/>
              <w:right w:val="single" w:color="000000" w:sz="4" w:space="0"/>
            </w:tcBorders>
            <w:noWrap w:val="0"/>
            <w:vAlign w:val="center"/>
          </w:tcPr>
          <w:p w14:paraId="19DDE805">
            <w:pPr>
              <w:widowControl/>
              <w:adjustRightInd w:val="0"/>
              <w:snapToGrid w:val="0"/>
              <w:ind w:left="0" w:leftChars="0" w:right="0" w:rightChars="0" w:firstLine="0" w:firstLineChars="0"/>
              <w:jc w:val="center"/>
              <w:rPr>
                <w:rFonts w:ascii="宋体" w:hAnsi="宋体"/>
                <w:kern w:val="0"/>
                <w:sz w:val="24"/>
                <w:szCs w:val="24"/>
                <w:highlight w:val="none"/>
              </w:rPr>
            </w:pPr>
          </w:p>
        </w:tc>
      </w:tr>
    </w:tbl>
    <w:p w14:paraId="69740A08">
      <w:pPr>
        <w:pStyle w:val="30"/>
        <w:ind w:left="0" w:leftChars="0" w:firstLine="0" w:firstLineChars="0"/>
        <w:rPr>
          <w:rFonts w:hint="eastAsia" w:ascii="Times New Roman" w:hAnsi="Times New Roman" w:eastAsia="仿宋_GB2312" w:cs="Times New Roman"/>
          <w:color w:val="auto"/>
          <w:kern w:val="2"/>
          <w:position w:val="0"/>
          <w:sz w:val="32"/>
          <w:szCs w:val="32"/>
          <w:highlight w:val="none"/>
          <w:lang w:val="en-US" w:eastAsia="zh-CN" w:bidi="ar-SA"/>
        </w:rPr>
      </w:pPr>
    </w:p>
    <w:p w14:paraId="3F8582F7">
      <w:pPr>
        <w:rPr>
          <w:rFonts w:ascii="Arial" w:hAnsi="Arial" w:eastAsia="黑体" w:cs="Arial"/>
          <w:sz w:val="32"/>
        </w:rPr>
      </w:pPr>
      <w:r>
        <w:rPr>
          <w:rFonts w:ascii="Arial" w:hAnsi="Arial" w:eastAsia="黑体" w:cs="Arial"/>
          <w:sz w:val="32"/>
        </w:rPr>
        <w:br w:type="page"/>
      </w:r>
    </w:p>
    <w:p w14:paraId="72D3844B">
      <w:pPr>
        <w:pStyle w:val="30"/>
        <w:jc w:val="center"/>
      </w:pPr>
    </w:p>
    <w:p w14:paraId="14981DD0"/>
    <w:p w14:paraId="492FF9E0">
      <w:pPr>
        <w:pStyle w:val="185"/>
        <w:spacing w:before="120" w:after="100" w:afterAutospacing="1" w:line="240" w:lineRule="auto"/>
        <w:jc w:val="center"/>
        <w:rPr>
          <w:rFonts w:ascii="Arial" w:hAnsi="Arial" w:eastAsia="黑体" w:cs="Arial"/>
          <w:sz w:val="32"/>
        </w:rPr>
      </w:pPr>
      <w:bookmarkStart w:id="107" w:name="_Toc8863"/>
      <w:bookmarkStart w:id="108" w:name="_Toc237917789"/>
      <w:r>
        <w:rPr>
          <w:rFonts w:ascii="Arial" w:hAnsi="Arial" w:eastAsia="黑体" w:cs="Arial"/>
          <w:sz w:val="32"/>
        </w:rPr>
        <w:t>第</w:t>
      </w:r>
      <w:r>
        <w:rPr>
          <w:rFonts w:hint="eastAsia" w:ascii="Arial" w:hAnsi="Arial" w:eastAsia="黑体" w:cs="Arial"/>
          <w:sz w:val="32"/>
        </w:rPr>
        <w:t>六</w:t>
      </w:r>
      <w:r>
        <w:rPr>
          <w:rFonts w:ascii="Arial" w:hAnsi="Arial" w:eastAsia="黑体" w:cs="Arial"/>
          <w:sz w:val="32"/>
        </w:rPr>
        <w:t>章 投标文件格式</w:t>
      </w:r>
      <w:bookmarkEnd w:id="107"/>
      <w:bookmarkEnd w:id="108"/>
    </w:p>
    <w:p w14:paraId="23876DD0">
      <w:pPr>
        <w:jc w:val="center"/>
        <w:outlineLvl w:val="9"/>
        <w:rPr>
          <w:rFonts w:hint="eastAsia" w:ascii="宋体" w:hAnsi="宋体" w:cs="宋体"/>
          <w:b/>
          <w:sz w:val="96"/>
          <w:szCs w:val="84"/>
        </w:rPr>
      </w:pPr>
      <w:bookmarkStart w:id="109" w:name="_Toc20079"/>
    </w:p>
    <w:p w14:paraId="783332B1">
      <w:pPr>
        <w:jc w:val="center"/>
        <w:outlineLvl w:val="1"/>
        <w:rPr>
          <w:rFonts w:hint="eastAsia" w:ascii="宋体" w:hAnsi="宋体" w:cs="宋体"/>
          <w:b/>
          <w:sz w:val="72"/>
          <w:szCs w:val="21"/>
        </w:rPr>
      </w:pPr>
      <w:r>
        <w:rPr>
          <w:rFonts w:hint="eastAsia" w:ascii="宋体" w:hAnsi="宋体" w:cs="宋体"/>
          <w:b/>
          <w:sz w:val="96"/>
          <w:szCs w:val="84"/>
        </w:rPr>
        <w:t>投  标  文  件</w:t>
      </w:r>
      <w:bookmarkEnd w:id="109"/>
    </w:p>
    <w:p w14:paraId="12DD829F">
      <w:pPr>
        <w:jc w:val="center"/>
        <w:rPr>
          <w:rFonts w:ascii="宋体" w:hAnsi="宋体" w:cs="宋体"/>
          <w:b/>
          <w:sz w:val="72"/>
          <w:szCs w:val="21"/>
        </w:rPr>
      </w:pPr>
    </w:p>
    <w:p w14:paraId="770AEF0D">
      <w:pPr>
        <w:jc w:val="center"/>
        <w:rPr>
          <w:rFonts w:ascii="宋体" w:hAnsi="宋体" w:cs="宋体"/>
          <w:b/>
          <w:sz w:val="72"/>
          <w:szCs w:val="21"/>
        </w:rPr>
      </w:pPr>
    </w:p>
    <w:p w14:paraId="4574D84D">
      <w:pPr>
        <w:jc w:val="center"/>
        <w:rPr>
          <w:rFonts w:hint="eastAsia" w:ascii="宋体" w:hAnsi="宋体" w:cs="宋体"/>
          <w:b/>
          <w:sz w:val="72"/>
          <w:szCs w:val="21"/>
        </w:rPr>
      </w:pPr>
    </w:p>
    <w:p w14:paraId="1ABCDF1D">
      <w:pPr>
        <w:ind w:right="1284" w:firstLine="1285"/>
        <w:rPr>
          <w:rFonts w:hint="eastAsia" w:ascii="宋体" w:hAnsi="宋体" w:cs="宋体"/>
          <w:b/>
          <w:sz w:val="32"/>
          <w:szCs w:val="32"/>
        </w:rPr>
      </w:pPr>
    </w:p>
    <w:tbl>
      <w:tblPr>
        <w:tblStyle w:val="31"/>
        <w:tblW w:w="0" w:type="auto"/>
        <w:tblInd w:w="29" w:type="dxa"/>
        <w:tblLayout w:type="fixed"/>
        <w:tblCellMar>
          <w:top w:w="0" w:type="dxa"/>
          <w:left w:w="108" w:type="dxa"/>
          <w:bottom w:w="0" w:type="dxa"/>
          <w:right w:w="108" w:type="dxa"/>
        </w:tblCellMar>
      </w:tblPr>
      <w:tblGrid>
        <w:gridCol w:w="3036"/>
        <w:gridCol w:w="5988"/>
      </w:tblGrid>
      <w:tr w14:paraId="25C86BC4">
        <w:tblPrEx>
          <w:tblCellMar>
            <w:top w:w="0" w:type="dxa"/>
            <w:left w:w="108" w:type="dxa"/>
            <w:bottom w:w="0" w:type="dxa"/>
            <w:right w:w="108" w:type="dxa"/>
          </w:tblCellMar>
        </w:tblPrEx>
        <w:trPr>
          <w:trHeight w:val="907" w:hRule="atLeast"/>
        </w:trPr>
        <w:tc>
          <w:tcPr>
            <w:tcW w:w="3036" w:type="dxa"/>
            <w:tcBorders>
              <w:top w:val="nil"/>
              <w:left w:val="nil"/>
              <w:bottom w:val="nil"/>
              <w:right w:val="nil"/>
            </w:tcBorders>
            <w:noWrap w:val="0"/>
            <w:vAlign w:val="center"/>
          </w:tcPr>
          <w:p w14:paraId="043ADE3B">
            <w:pPr>
              <w:jc w:val="right"/>
              <w:rPr>
                <w:rFonts w:ascii="宋体" w:hAnsi="宋体" w:cs="宋体"/>
                <w:b/>
                <w:sz w:val="32"/>
                <w:szCs w:val="32"/>
              </w:rPr>
            </w:pPr>
            <w:r>
              <w:rPr>
                <w:rFonts w:hint="eastAsia" w:ascii="宋体" w:hAnsi="宋体" w:cs="宋体"/>
                <w:b/>
                <w:sz w:val="32"/>
                <w:szCs w:val="32"/>
              </w:rPr>
              <w:t>项目</w:t>
            </w:r>
            <w:r>
              <w:rPr>
                <w:rFonts w:hint="eastAsia" w:ascii="宋体" w:hAnsi="宋体" w:eastAsia="Times New Roman" w:cs="宋体"/>
                <w:b/>
                <w:sz w:val="32"/>
                <w:szCs w:val="32"/>
              </w:rPr>
              <w:t>名称：</w:t>
            </w:r>
          </w:p>
        </w:tc>
        <w:tc>
          <w:tcPr>
            <w:tcW w:w="5988" w:type="dxa"/>
            <w:tcBorders>
              <w:top w:val="nil"/>
              <w:left w:val="nil"/>
              <w:bottom w:val="nil"/>
              <w:right w:val="nil"/>
            </w:tcBorders>
            <w:noWrap w:val="0"/>
            <w:vAlign w:val="center"/>
          </w:tcPr>
          <w:p w14:paraId="20C145C6">
            <w:pPr>
              <w:rPr>
                <w:rFonts w:hint="eastAsia" w:ascii="黑体" w:hAnsi="黑体" w:eastAsia="黑体" w:cs="Arial"/>
                <w:b/>
                <w:sz w:val="32"/>
              </w:rPr>
            </w:pPr>
          </w:p>
        </w:tc>
      </w:tr>
      <w:tr w14:paraId="16890BB9">
        <w:tblPrEx>
          <w:tblCellMar>
            <w:top w:w="0" w:type="dxa"/>
            <w:left w:w="108" w:type="dxa"/>
            <w:bottom w:w="0" w:type="dxa"/>
            <w:right w:w="108" w:type="dxa"/>
          </w:tblCellMar>
        </w:tblPrEx>
        <w:trPr>
          <w:trHeight w:val="907" w:hRule="atLeast"/>
        </w:trPr>
        <w:tc>
          <w:tcPr>
            <w:tcW w:w="3036" w:type="dxa"/>
            <w:tcBorders>
              <w:top w:val="nil"/>
              <w:left w:val="nil"/>
              <w:bottom w:val="nil"/>
              <w:right w:val="nil"/>
            </w:tcBorders>
            <w:noWrap w:val="0"/>
            <w:vAlign w:val="center"/>
          </w:tcPr>
          <w:p w14:paraId="185AA6B6">
            <w:pPr>
              <w:jc w:val="right"/>
              <w:rPr>
                <w:rFonts w:ascii="宋体" w:hAnsi="宋体" w:cs="宋体"/>
                <w:b/>
                <w:sz w:val="32"/>
                <w:szCs w:val="32"/>
              </w:rPr>
            </w:pPr>
            <w:r>
              <w:rPr>
                <w:rFonts w:hint="eastAsia" w:ascii="宋体" w:hAnsi="宋体" w:eastAsia="Times New Roman" w:cs="宋体"/>
                <w:b/>
                <w:sz w:val="32"/>
                <w:szCs w:val="32"/>
              </w:rPr>
              <w:t>项目编号：</w:t>
            </w:r>
          </w:p>
        </w:tc>
        <w:tc>
          <w:tcPr>
            <w:tcW w:w="5988" w:type="dxa"/>
            <w:tcBorders>
              <w:top w:val="nil"/>
              <w:left w:val="nil"/>
              <w:bottom w:val="nil"/>
              <w:right w:val="nil"/>
            </w:tcBorders>
            <w:noWrap w:val="0"/>
            <w:vAlign w:val="center"/>
          </w:tcPr>
          <w:p w14:paraId="19598E05">
            <w:pPr>
              <w:rPr>
                <w:rFonts w:hint="eastAsia" w:ascii="宋体" w:hAnsi="宋体" w:cs="宋体"/>
                <w:b/>
                <w:sz w:val="32"/>
                <w:szCs w:val="32"/>
              </w:rPr>
            </w:pPr>
          </w:p>
        </w:tc>
      </w:tr>
      <w:tr w14:paraId="305E6FD6">
        <w:tblPrEx>
          <w:tblCellMar>
            <w:top w:w="0" w:type="dxa"/>
            <w:left w:w="108" w:type="dxa"/>
            <w:bottom w:w="0" w:type="dxa"/>
            <w:right w:w="108" w:type="dxa"/>
          </w:tblCellMar>
        </w:tblPrEx>
        <w:trPr>
          <w:trHeight w:val="907" w:hRule="atLeast"/>
        </w:trPr>
        <w:tc>
          <w:tcPr>
            <w:tcW w:w="3036" w:type="dxa"/>
            <w:tcBorders>
              <w:top w:val="nil"/>
              <w:left w:val="nil"/>
              <w:bottom w:val="nil"/>
              <w:right w:val="nil"/>
            </w:tcBorders>
            <w:noWrap w:val="0"/>
            <w:vAlign w:val="center"/>
          </w:tcPr>
          <w:p w14:paraId="43286783">
            <w:pPr>
              <w:jc w:val="right"/>
              <w:rPr>
                <w:rFonts w:ascii="宋体" w:hAnsi="宋体" w:cs="宋体"/>
                <w:b/>
                <w:sz w:val="32"/>
                <w:szCs w:val="32"/>
              </w:rPr>
            </w:pPr>
            <w:r>
              <w:rPr>
                <w:rFonts w:hint="eastAsia" w:ascii="宋体" w:hAnsi="宋体" w:eastAsia="Times New Roman" w:cs="宋体"/>
                <w:b/>
                <w:sz w:val="36"/>
                <w:szCs w:val="21"/>
              </w:rPr>
              <w:t>投标人名称：</w:t>
            </w:r>
          </w:p>
        </w:tc>
        <w:tc>
          <w:tcPr>
            <w:tcW w:w="5988" w:type="dxa"/>
            <w:tcBorders>
              <w:top w:val="nil"/>
              <w:left w:val="nil"/>
              <w:bottom w:val="nil"/>
              <w:right w:val="nil"/>
            </w:tcBorders>
            <w:noWrap w:val="0"/>
            <w:vAlign w:val="center"/>
          </w:tcPr>
          <w:p w14:paraId="7D5C3D7A">
            <w:pPr>
              <w:ind w:firstLine="1441"/>
              <w:rPr>
                <w:rFonts w:ascii="宋体" w:hAnsi="宋体" w:cs="宋体"/>
                <w:b/>
                <w:sz w:val="32"/>
                <w:szCs w:val="32"/>
              </w:rPr>
            </w:pPr>
            <w:r>
              <w:rPr>
                <w:rFonts w:hint="eastAsia" w:ascii="宋体" w:hAnsi="宋体" w:eastAsia="Times New Roman" w:cs="宋体"/>
                <w:b/>
                <w:sz w:val="36"/>
                <w:szCs w:val="21"/>
              </w:rPr>
              <w:t>（加盖CA电子公章）</w:t>
            </w:r>
          </w:p>
        </w:tc>
      </w:tr>
      <w:tr w14:paraId="5F6CE11B">
        <w:tblPrEx>
          <w:tblCellMar>
            <w:top w:w="0" w:type="dxa"/>
            <w:left w:w="108" w:type="dxa"/>
            <w:bottom w:w="0" w:type="dxa"/>
            <w:right w:w="108" w:type="dxa"/>
          </w:tblCellMar>
        </w:tblPrEx>
        <w:trPr>
          <w:trHeight w:val="907" w:hRule="atLeast"/>
        </w:trPr>
        <w:tc>
          <w:tcPr>
            <w:tcW w:w="3036" w:type="dxa"/>
            <w:tcBorders>
              <w:top w:val="nil"/>
              <w:left w:val="nil"/>
              <w:bottom w:val="nil"/>
              <w:right w:val="nil"/>
            </w:tcBorders>
            <w:noWrap w:val="0"/>
            <w:vAlign w:val="center"/>
          </w:tcPr>
          <w:p w14:paraId="0163D1B7">
            <w:pPr>
              <w:jc w:val="right"/>
              <w:rPr>
                <w:rFonts w:ascii="宋体" w:hAnsi="宋体" w:cs="宋体"/>
                <w:b/>
                <w:sz w:val="32"/>
                <w:szCs w:val="32"/>
              </w:rPr>
            </w:pPr>
            <w:r>
              <w:rPr>
                <w:rFonts w:hint="eastAsia" w:ascii="宋体" w:hAnsi="宋体" w:eastAsia="Times New Roman" w:cs="宋体"/>
                <w:b/>
                <w:sz w:val="32"/>
                <w:szCs w:val="32"/>
              </w:rPr>
              <w:t>日期</w:t>
            </w:r>
            <w:r>
              <w:rPr>
                <w:rFonts w:hint="eastAsia" w:ascii="宋体" w:hAnsi="宋体" w:eastAsia="Times New Roman" w:cs="宋体"/>
                <w:b/>
                <w:sz w:val="36"/>
                <w:szCs w:val="21"/>
              </w:rPr>
              <w:t>：</w:t>
            </w:r>
          </w:p>
        </w:tc>
        <w:tc>
          <w:tcPr>
            <w:tcW w:w="5988" w:type="dxa"/>
            <w:tcBorders>
              <w:top w:val="nil"/>
              <w:left w:val="nil"/>
              <w:bottom w:val="nil"/>
              <w:right w:val="nil"/>
            </w:tcBorders>
            <w:noWrap w:val="0"/>
            <w:vAlign w:val="center"/>
          </w:tcPr>
          <w:p w14:paraId="3C241718">
            <w:pPr>
              <w:ind w:firstLine="640"/>
              <w:rPr>
                <w:rFonts w:ascii="宋体" w:hAnsi="宋体" w:cs="宋体"/>
                <w:b/>
                <w:sz w:val="32"/>
                <w:szCs w:val="32"/>
              </w:rPr>
            </w:pPr>
            <w:r>
              <w:rPr>
                <w:rFonts w:hint="eastAsia" w:ascii="宋体" w:hAnsi="宋体" w:eastAsia="Times New Roman" w:cs="宋体"/>
                <w:b/>
                <w:sz w:val="32"/>
                <w:szCs w:val="32"/>
              </w:rPr>
              <w:t>年</w:t>
            </w:r>
            <w:r>
              <w:rPr>
                <w:rFonts w:hint="eastAsia" w:ascii="宋体" w:hAnsi="宋体" w:eastAsia="等线" w:cs="宋体"/>
                <w:b/>
                <w:sz w:val="32"/>
                <w:szCs w:val="32"/>
              </w:rPr>
              <w:t xml:space="preserve">  </w:t>
            </w:r>
            <w:r>
              <w:rPr>
                <w:rFonts w:hint="eastAsia" w:ascii="宋体" w:hAnsi="宋体" w:eastAsia="Times New Roman" w:cs="宋体"/>
                <w:b/>
                <w:sz w:val="32"/>
                <w:szCs w:val="32"/>
              </w:rPr>
              <w:t>月</w:t>
            </w:r>
            <w:r>
              <w:rPr>
                <w:rFonts w:hint="eastAsia" w:ascii="宋体" w:hAnsi="宋体" w:eastAsia="等线" w:cs="宋体"/>
                <w:b/>
                <w:sz w:val="32"/>
                <w:szCs w:val="32"/>
              </w:rPr>
              <w:t xml:space="preserve">  </w:t>
            </w:r>
            <w:r>
              <w:rPr>
                <w:rFonts w:hint="eastAsia" w:ascii="宋体" w:hAnsi="宋体" w:eastAsia="Times New Roman" w:cs="宋体"/>
                <w:b/>
                <w:sz w:val="32"/>
                <w:szCs w:val="32"/>
              </w:rPr>
              <w:t>日</w:t>
            </w:r>
          </w:p>
        </w:tc>
      </w:tr>
    </w:tbl>
    <w:p w14:paraId="042428A4">
      <w:pPr>
        <w:spacing w:line="440" w:lineRule="exact"/>
        <w:jc w:val="center"/>
        <w:outlineLvl w:val="1"/>
        <w:rPr>
          <w:rFonts w:hint="eastAsia" w:ascii="宋体" w:hAnsi="宋体"/>
          <w:b/>
          <w:bCs/>
          <w:sz w:val="32"/>
          <w:szCs w:val="32"/>
        </w:rPr>
      </w:pPr>
      <w:r>
        <w:rPr>
          <w:rFonts w:ascii="Arial" w:hAnsi="Arial" w:cs="Arial"/>
        </w:rPr>
        <w:br w:type="page" w:clear="all"/>
      </w:r>
      <w:bookmarkStart w:id="110" w:name="_Toc26442"/>
      <w:bookmarkStart w:id="111" w:name="_Toc237917790"/>
      <w:r>
        <w:rPr>
          <w:rFonts w:hint="eastAsia" w:ascii="宋体" w:hAnsi="宋体"/>
          <w:b/>
          <w:bCs/>
          <w:sz w:val="32"/>
          <w:szCs w:val="32"/>
        </w:rPr>
        <w:t>投标文件目录</w:t>
      </w:r>
      <w:bookmarkEnd w:id="110"/>
    </w:p>
    <w:p w14:paraId="181F5231">
      <w:pPr>
        <w:spacing w:line="360" w:lineRule="auto"/>
        <w:ind w:firstLine="321"/>
        <w:jc w:val="center"/>
        <w:rPr>
          <w:rFonts w:hint="eastAsia" w:ascii="宋体" w:hAnsi="宋体"/>
          <w:b/>
          <w:bCs/>
          <w:sz w:val="32"/>
          <w:szCs w:val="32"/>
        </w:rPr>
      </w:pPr>
    </w:p>
    <w:p w14:paraId="7FEC054B">
      <w:pPr>
        <w:spacing w:line="600" w:lineRule="exact"/>
        <w:ind w:firstLine="560"/>
        <w:rPr>
          <w:rFonts w:ascii="宋体" w:hAnsi="宋体" w:cs="宋体"/>
          <w:i/>
          <w:iCs/>
          <w:sz w:val="28"/>
          <w:szCs w:val="28"/>
          <w:u w:val="single"/>
        </w:rPr>
      </w:pPr>
      <w:r>
        <w:rPr>
          <w:rFonts w:hint="eastAsia" w:ascii="宋体" w:hAnsi="宋体" w:cs="宋体"/>
          <w:i/>
          <w:iCs/>
          <w:sz w:val="28"/>
          <w:szCs w:val="28"/>
          <w:u w:val="single"/>
        </w:rPr>
        <w:t>一、供应商资格证明文件</w:t>
      </w:r>
    </w:p>
    <w:p w14:paraId="392F5A9D">
      <w:pPr>
        <w:spacing w:line="600" w:lineRule="exact"/>
        <w:ind w:firstLine="560"/>
        <w:rPr>
          <w:rFonts w:ascii="宋体" w:hAnsi="宋体" w:cs="宋体"/>
          <w:i/>
          <w:iCs/>
          <w:sz w:val="28"/>
          <w:szCs w:val="28"/>
          <w:u w:val="single"/>
        </w:rPr>
      </w:pPr>
      <w:r>
        <w:rPr>
          <w:rFonts w:hint="eastAsia" w:ascii="宋体" w:hAnsi="宋体" w:cs="宋体"/>
          <w:i/>
          <w:iCs/>
          <w:sz w:val="28"/>
          <w:szCs w:val="28"/>
          <w:u w:val="single"/>
        </w:rPr>
        <w:t>二、法人授权书</w:t>
      </w:r>
    </w:p>
    <w:p w14:paraId="5FE680A0">
      <w:pPr>
        <w:spacing w:line="600" w:lineRule="exact"/>
        <w:ind w:firstLine="560"/>
        <w:rPr>
          <w:rFonts w:ascii="宋体" w:hAnsi="宋体" w:cs="宋体"/>
          <w:i/>
          <w:iCs/>
          <w:sz w:val="28"/>
          <w:szCs w:val="28"/>
          <w:u w:val="single"/>
        </w:rPr>
      </w:pPr>
      <w:r>
        <w:rPr>
          <w:rFonts w:hint="eastAsia" w:ascii="宋体" w:hAnsi="宋体" w:cs="宋体"/>
          <w:i/>
          <w:iCs/>
          <w:sz w:val="28"/>
          <w:szCs w:val="28"/>
          <w:u w:val="single"/>
        </w:rPr>
        <w:t>三、投标函</w:t>
      </w:r>
    </w:p>
    <w:p w14:paraId="4C94A41C">
      <w:pPr>
        <w:spacing w:line="600" w:lineRule="exact"/>
        <w:ind w:firstLine="560"/>
        <w:rPr>
          <w:rFonts w:ascii="宋体" w:hAnsi="宋体" w:cs="宋体"/>
          <w:i/>
          <w:iCs/>
          <w:sz w:val="28"/>
          <w:szCs w:val="28"/>
          <w:u w:val="single"/>
        </w:rPr>
      </w:pPr>
      <w:r>
        <w:rPr>
          <w:rFonts w:hint="eastAsia" w:ascii="宋体" w:hAnsi="宋体" w:cs="宋体"/>
          <w:i/>
          <w:iCs/>
          <w:sz w:val="28"/>
          <w:szCs w:val="28"/>
          <w:u w:val="single"/>
        </w:rPr>
        <w:t>四、开标一览表</w:t>
      </w:r>
    </w:p>
    <w:p w14:paraId="683D1583">
      <w:pPr>
        <w:spacing w:line="600" w:lineRule="exact"/>
        <w:ind w:firstLine="560"/>
        <w:rPr>
          <w:rFonts w:ascii="宋体" w:hAnsi="宋体" w:cs="宋体"/>
          <w:sz w:val="28"/>
          <w:szCs w:val="28"/>
        </w:rPr>
      </w:pPr>
      <w:r>
        <w:rPr>
          <w:rFonts w:hint="eastAsia" w:ascii="宋体" w:hAnsi="宋体" w:cs="宋体"/>
          <w:sz w:val="28"/>
          <w:szCs w:val="28"/>
        </w:rPr>
        <w:t>五、投标分项报价表</w:t>
      </w:r>
    </w:p>
    <w:p w14:paraId="39F67B75">
      <w:pPr>
        <w:spacing w:line="600" w:lineRule="exact"/>
        <w:ind w:firstLine="560"/>
        <w:rPr>
          <w:rFonts w:ascii="宋体" w:hAnsi="宋体" w:cs="宋体"/>
          <w:sz w:val="28"/>
          <w:szCs w:val="28"/>
        </w:rPr>
      </w:pPr>
      <w:r>
        <w:rPr>
          <w:rFonts w:hint="eastAsia" w:ascii="宋体" w:hAnsi="宋体" w:cs="宋体"/>
          <w:sz w:val="28"/>
          <w:szCs w:val="28"/>
        </w:rPr>
        <w:t>六、技术要求响应及偏离表</w:t>
      </w:r>
    </w:p>
    <w:p w14:paraId="57164A40">
      <w:pPr>
        <w:spacing w:line="600" w:lineRule="exact"/>
        <w:ind w:firstLine="560"/>
        <w:rPr>
          <w:rFonts w:ascii="宋体" w:hAnsi="宋体" w:cs="宋体"/>
          <w:sz w:val="28"/>
          <w:szCs w:val="28"/>
        </w:rPr>
      </w:pPr>
      <w:r>
        <w:rPr>
          <w:rFonts w:hint="eastAsia" w:ascii="宋体" w:hAnsi="宋体" w:cs="宋体"/>
          <w:sz w:val="28"/>
          <w:szCs w:val="28"/>
        </w:rPr>
        <w:t>七、商务要求响应及偏离表</w:t>
      </w:r>
    </w:p>
    <w:p w14:paraId="132F8005">
      <w:pPr>
        <w:spacing w:line="600" w:lineRule="exact"/>
        <w:ind w:firstLine="560"/>
        <w:rPr>
          <w:rFonts w:ascii="宋体" w:hAnsi="宋体" w:cs="宋体"/>
          <w:sz w:val="28"/>
          <w:szCs w:val="28"/>
        </w:rPr>
      </w:pPr>
      <w:r>
        <w:rPr>
          <w:rFonts w:hint="eastAsia" w:ascii="宋体" w:hAnsi="宋体" w:cs="宋体"/>
          <w:sz w:val="28"/>
          <w:szCs w:val="28"/>
        </w:rPr>
        <w:t>八、中小企业声明函（如有）</w:t>
      </w:r>
    </w:p>
    <w:p w14:paraId="51C77A06">
      <w:pPr>
        <w:spacing w:line="600" w:lineRule="exact"/>
        <w:ind w:firstLine="560"/>
        <w:rPr>
          <w:rFonts w:ascii="宋体" w:hAnsi="宋体" w:cs="宋体"/>
          <w:sz w:val="28"/>
          <w:szCs w:val="28"/>
        </w:rPr>
      </w:pPr>
      <w:r>
        <w:rPr>
          <w:rFonts w:hint="eastAsia" w:ascii="宋体" w:hAnsi="宋体" w:cs="宋体"/>
          <w:sz w:val="28"/>
          <w:szCs w:val="28"/>
        </w:rPr>
        <w:t>九、残疾人福利性单位声明函（如有）</w:t>
      </w:r>
    </w:p>
    <w:p w14:paraId="1086A25D">
      <w:pPr>
        <w:spacing w:line="600" w:lineRule="exact"/>
        <w:ind w:firstLine="560"/>
        <w:rPr>
          <w:rFonts w:hint="eastAsia" w:ascii="宋体" w:hAnsi="宋体" w:cs="宋体"/>
          <w:sz w:val="28"/>
          <w:szCs w:val="28"/>
        </w:rPr>
      </w:pPr>
      <w:r>
        <w:rPr>
          <w:rFonts w:hint="eastAsia" w:ascii="宋体" w:hAnsi="宋体" w:cs="宋体"/>
          <w:sz w:val="28"/>
          <w:szCs w:val="28"/>
        </w:rPr>
        <w:t>十、关于符合本国产品标准的声明函（如有）</w:t>
      </w:r>
    </w:p>
    <w:p w14:paraId="01267648">
      <w:pPr>
        <w:spacing w:line="600" w:lineRule="exact"/>
        <w:ind w:firstLine="560"/>
        <w:rPr>
          <w:rFonts w:ascii="宋体" w:hAnsi="宋体" w:cs="宋体"/>
          <w:i/>
          <w:iCs/>
          <w:sz w:val="28"/>
          <w:szCs w:val="28"/>
          <w:u w:val="single"/>
        </w:rPr>
      </w:pPr>
      <w:r>
        <w:rPr>
          <w:rFonts w:hint="eastAsia" w:ascii="宋体" w:hAnsi="宋体" w:cs="宋体"/>
          <w:i/>
          <w:iCs/>
          <w:sz w:val="28"/>
          <w:szCs w:val="28"/>
          <w:u w:val="single"/>
        </w:rPr>
        <w:t>十一、《南京市政府采购供应商信用记录表暨信用承诺书》</w:t>
      </w:r>
    </w:p>
    <w:p w14:paraId="6C8DE177">
      <w:pPr>
        <w:spacing w:line="600" w:lineRule="exact"/>
        <w:ind w:firstLine="560"/>
        <w:rPr>
          <w:rFonts w:hint="eastAsia" w:ascii="宋体" w:hAnsi="宋体" w:cs="宋体"/>
          <w:sz w:val="28"/>
          <w:szCs w:val="28"/>
        </w:rPr>
      </w:pPr>
      <w:r>
        <w:rPr>
          <w:rFonts w:hint="eastAsia" w:ascii="宋体" w:hAnsi="宋体" w:cs="宋体"/>
          <w:sz w:val="28"/>
          <w:szCs w:val="28"/>
        </w:rPr>
        <w:t>十二、服务方案</w:t>
      </w:r>
    </w:p>
    <w:p w14:paraId="2E8D5D55">
      <w:pPr>
        <w:spacing w:line="600" w:lineRule="exact"/>
        <w:ind w:firstLine="560"/>
        <w:rPr>
          <w:rFonts w:ascii="Arial" w:hAnsi="Arial" w:cs="Arial"/>
          <w:sz w:val="24"/>
        </w:rPr>
      </w:pPr>
      <w:r>
        <w:rPr>
          <w:rFonts w:hint="eastAsia" w:ascii="宋体" w:hAnsi="宋体" w:cs="宋体"/>
          <w:sz w:val="28"/>
          <w:szCs w:val="28"/>
        </w:rPr>
        <w:t>十三、投标人认为需要提供的其它资料</w:t>
      </w:r>
      <w:r>
        <w:rPr>
          <w:rFonts w:hint="eastAsia" w:ascii="宋体" w:hAnsi="宋体" w:cs="宋体"/>
          <w:sz w:val="28"/>
          <w:szCs w:val="28"/>
        </w:rPr>
        <w:br w:type="page" w:clear="all"/>
      </w:r>
      <w:bookmarkStart w:id="112" w:name="_Toc237917798"/>
      <w:r>
        <w:rPr>
          <w:rFonts w:hint="eastAsia" w:ascii="宋体" w:hAnsi="宋体" w:cs="宋体"/>
          <w:sz w:val="28"/>
          <w:szCs w:val="28"/>
        </w:rPr>
        <w:t>1、</w:t>
      </w:r>
      <w:r>
        <w:rPr>
          <w:rFonts w:ascii="Arial" w:hAnsi="Arial" w:cs="Arial"/>
          <w:b/>
          <w:sz w:val="24"/>
        </w:rPr>
        <w:t>资格证明文件</w:t>
      </w:r>
      <w:bookmarkEnd w:id="112"/>
    </w:p>
    <w:p w14:paraId="5AFB8DDB"/>
    <w:p w14:paraId="22EA09A6">
      <w:pPr>
        <w:widowControl/>
        <w:spacing w:line="500" w:lineRule="exact"/>
        <w:ind w:firstLine="480"/>
        <w:rPr>
          <w:rFonts w:ascii="宋体" w:hAnsi="宋体"/>
          <w:i/>
          <w:iCs/>
          <w:sz w:val="24"/>
          <w:u w:val="single"/>
        </w:rPr>
      </w:pPr>
      <w:r>
        <w:rPr>
          <w:rFonts w:ascii="宋体" w:hAnsi="宋体"/>
          <w:i/>
          <w:iCs/>
          <w:sz w:val="24"/>
          <w:u w:val="single"/>
        </w:rPr>
        <w:t>（</w:t>
      </w:r>
      <w:r>
        <w:rPr>
          <w:rFonts w:hint="eastAsia" w:ascii="宋体" w:hAnsi="宋体"/>
          <w:i/>
          <w:iCs/>
          <w:sz w:val="24"/>
          <w:u w:val="single"/>
        </w:rPr>
        <w:t>1</w:t>
      </w:r>
      <w:r>
        <w:rPr>
          <w:rFonts w:ascii="宋体" w:hAnsi="宋体"/>
          <w:i/>
          <w:iCs/>
          <w:sz w:val="24"/>
          <w:u w:val="single"/>
        </w:rPr>
        <w:t>）</w:t>
      </w:r>
      <w:r>
        <w:rPr>
          <w:rFonts w:hint="eastAsia" w:ascii="宋体" w:hAnsi="宋体"/>
          <w:i/>
          <w:iCs/>
          <w:sz w:val="24"/>
          <w:u w:val="single"/>
        </w:rPr>
        <w:t>投标人</w:t>
      </w:r>
      <w:r>
        <w:rPr>
          <w:rFonts w:ascii="宋体" w:hAnsi="宋体"/>
          <w:i/>
          <w:iCs/>
          <w:sz w:val="24"/>
          <w:u w:val="single"/>
        </w:rPr>
        <w:t>营业执照</w:t>
      </w:r>
      <w:r>
        <w:rPr>
          <w:rFonts w:hint="eastAsia" w:ascii="宋体" w:hAnsi="宋体"/>
          <w:i/>
          <w:iCs/>
          <w:sz w:val="24"/>
          <w:u w:val="single"/>
        </w:rPr>
        <w:t>副本复印件</w:t>
      </w:r>
      <w:r>
        <w:rPr>
          <w:rFonts w:ascii="宋体" w:hAnsi="宋体"/>
          <w:i/>
          <w:iCs/>
          <w:sz w:val="24"/>
          <w:u w:val="single"/>
        </w:rPr>
        <w:t>；</w:t>
      </w:r>
    </w:p>
    <w:p w14:paraId="5B9464B1">
      <w:pPr>
        <w:widowControl/>
        <w:spacing w:line="500" w:lineRule="exact"/>
        <w:ind w:firstLine="480"/>
        <w:rPr>
          <w:rFonts w:hint="eastAsia" w:ascii="宋体" w:hAnsi="宋体"/>
          <w:i/>
          <w:iCs/>
          <w:sz w:val="24"/>
          <w:u w:val="single"/>
        </w:rPr>
      </w:pPr>
    </w:p>
    <w:p w14:paraId="7CA8FA93">
      <w:pPr>
        <w:widowControl/>
        <w:spacing w:line="500" w:lineRule="exact"/>
        <w:ind w:firstLine="480"/>
        <w:rPr>
          <w:rFonts w:ascii="宋体" w:hAnsi="宋体"/>
          <w:i/>
          <w:iCs/>
          <w:sz w:val="24"/>
          <w:u w:val="single"/>
        </w:rPr>
      </w:pPr>
      <w:r>
        <w:rPr>
          <w:rFonts w:ascii="宋体" w:hAnsi="宋体"/>
          <w:i/>
          <w:iCs/>
          <w:sz w:val="24"/>
          <w:u w:val="single"/>
        </w:rPr>
        <w:t>（</w:t>
      </w:r>
      <w:r>
        <w:rPr>
          <w:rFonts w:hint="eastAsia" w:ascii="宋体" w:hAnsi="宋体"/>
          <w:i/>
          <w:iCs/>
          <w:sz w:val="24"/>
          <w:u w:val="single"/>
        </w:rPr>
        <w:t>2</w:t>
      </w:r>
      <w:r>
        <w:rPr>
          <w:rFonts w:ascii="宋体" w:hAnsi="宋体"/>
          <w:i/>
          <w:iCs/>
          <w:sz w:val="24"/>
          <w:u w:val="single"/>
        </w:rPr>
        <w:t>）</w:t>
      </w:r>
      <w:r>
        <w:rPr>
          <w:rFonts w:hint="eastAsia" w:ascii="宋体" w:hAnsi="宋体"/>
          <w:i/>
          <w:iCs/>
          <w:sz w:val="24"/>
          <w:u w:val="single"/>
        </w:rPr>
        <w:t>2024年度</w:t>
      </w:r>
      <w:r>
        <w:rPr>
          <w:rFonts w:hint="eastAsia" w:ascii="宋体" w:hAnsi="宋体"/>
          <w:i/>
          <w:iCs/>
          <w:sz w:val="24"/>
          <w:u w:val="single"/>
          <w:lang w:val="en-US" w:eastAsia="zh-CN"/>
        </w:rPr>
        <w:t>或2025年度</w:t>
      </w:r>
      <w:r>
        <w:rPr>
          <w:rFonts w:hint="eastAsia" w:ascii="宋体" w:hAnsi="宋体"/>
          <w:i/>
          <w:iCs/>
          <w:sz w:val="24"/>
          <w:u w:val="single"/>
        </w:rPr>
        <w:t>的财务审计报告或提交投标文件截止时间前六个月中任意一月份的财务报表（至少包括资产负债表和利润表）复印件或提交投标文件截止时间前六个月内银行出具的资信证明扫描件（法人或者其他组织成立未满三个月的可以不提供））</w:t>
      </w:r>
      <w:r>
        <w:rPr>
          <w:rFonts w:ascii="宋体" w:hAnsi="宋体"/>
          <w:i/>
          <w:iCs/>
          <w:sz w:val="24"/>
          <w:u w:val="single"/>
        </w:rPr>
        <w:t>；</w:t>
      </w:r>
    </w:p>
    <w:p w14:paraId="3430970C">
      <w:pPr>
        <w:widowControl/>
        <w:spacing w:line="500" w:lineRule="exact"/>
        <w:ind w:firstLine="480"/>
        <w:rPr>
          <w:rFonts w:hint="eastAsia" w:ascii="宋体" w:hAnsi="宋体"/>
          <w:i/>
          <w:iCs/>
          <w:sz w:val="24"/>
          <w:u w:val="single"/>
        </w:rPr>
      </w:pPr>
    </w:p>
    <w:p w14:paraId="1D4C404E">
      <w:pPr>
        <w:widowControl/>
        <w:spacing w:line="500" w:lineRule="exact"/>
        <w:ind w:firstLine="480"/>
        <w:rPr>
          <w:rFonts w:ascii="宋体" w:hAnsi="宋体"/>
          <w:i/>
          <w:iCs/>
          <w:sz w:val="24"/>
          <w:u w:val="single"/>
        </w:rPr>
      </w:pPr>
      <w:r>
        <w:rPr>
          <w:rFonts w:ascii="宋体" w:hAnsi="宋体"/>
          <w:i/>
          <w:iCs/>
          <w:sz w:val="24"/>
          <w:u w:val="single"/>
        </w:rPr>
        <w:t>（</w:t>
      </w:r>
      <w:r>
        <w:rPr>
          <w:rFonts w:hint="eastAsia" w:ascii="宋体" w:hAnsi="宋体"/>
          <w:i/>
          <w:iCs/>
          <w:sz w:val="24"/>
          <w:u w:val="single"/>
        </w:rPr>
        <w:t>3</w:t>
      </w:r>
      <w:r>
        <w:rPr>
          <w:rFonts w:ascii="宋体" w:hAnsi="宋体"/>
          <w:i/>
          <w:iCs/>
          <w:sz w:val="24"/>
          <w:u w:val="single"/>
        </w:rPr>
        <w:t>）履行合同所必需的设备和专业技术能力</w:t>
      </w:r>
      <w:r>
        <w:rPr>
          <w:rFonts w:hint="eastAsia" w:ascii="宋体" w:hAnsi="宋体"/>
          <w:i/>
          <w:iCs/>
          <w:sz w:val="24"/>
          <w:u w:val="single"/>
        </w:rPr>
        <w:t>证明材料；</w:t>
      </w:r>
    </w:p>
    <w:p w14:paraId="2918513A">
      <w:pPr>
        <w:widowControl/>
        <w:spacing w:line="500" w:lineRule="exact"/>
        <w:ind w:firstLine="480"/>
        <w:rPr>
          <w:rFonts w:hint="eastAsia" w:ascii="宋体" w:hAnsi="宋体"/>
          <w:i/>
          <w:iCs/>
          <w:sz w:val="24"/>
          <w:u w:val="single"/>
        </w:rPr>
      </w:pPr>
    </w:p>
    <w:p w14:paraId="719DFECC">
      <w:pPr>
        <w:widowControl/>
        <w:spacing w:line="500" w:lineRule="exact"/>
        <w:ind w:firstLine="480"/>
        <w:rPr>
          <w:rFonts w:ascii="宋体" w:hAnsi="宋体"/>
          <w:i/>
          <w:iCs/>
          <w:sz w:val="24"/>
          <w:u w:val="single"/>
        </w:rPr>
      </w:pPr>
      <w:r>
        <w:rPr>
          <w:rFonts w:ascii="宋体" w:hAnsi="宋体"/>
          <w:i/>
          <w:iCs/>
          <w:sz w:val="24"/>
          <w:u w:val="single"/>
        </w:rPr>
        <w:t>（</w:t>
      </w:r>
      <w:r>
        <w:rPr>
          <w:rFonts w:hint="eastAsia" w:ascii="宋体" w:hAnsi="宋体"/>
          <w:i/>
          <w:iCs/>
          <w:sz w:val="24"/>
          <w:u w:val="single"/>
        </w:rPr>
        <w:t>4</w:t>
      </w:r>
      <w:r>
        <w:rPr>
          <w:rFonts w:ascii="宋体" w:hAnsi="宋体"/>
          <w:i/>
          <w:iCs/>
          <w:sz w:val="24"/>
          <w:u w:val="single"/>
        </w:rPr>
        <w:t>）</w:t>
      </w:r>
      <w:r>
        <w:rPr>
          <w:rFonts w:hint="eastAsia" w:ascii="宋体" w:hAnsi="宋体"/>
          <w:i/>
          <w:iCs/>
          <w:sz w:val="24"/>
          <w:u w:val="single"/>
        </w:rPr>
        <w:t>参加本项目提交投标文件截止时间前六个月内（至少一个月）</w:t>
      </w:r>
      <w:r>
        <w:rPr>
          <w:rFonts w:ascii="宋体" w:hAnsi="宋体"/>
          <w:i/>
          <w:iCs/>
          <w:sz w:val="24"/>
          <w:u w:val="single"/>
        </w:rPr>
        <w:t>依法缴纳税收和社会保障资金的相关材料</w:t>
      </w:r>
      <w:r>
        <w:rPr>
          <w:rFonts w:hint="eastAsia" w:ascii="宋体" w:hAnsi="宋体"/>
          <w:i/>
          <w:iCs/>
          <w:sz w:val="24"/>
          <w:u w:val="single"/>
        </w:rPr>
        <w:t>复印件</w:t>
      </w:r>
      <w:r>
        <w:rPr>
          <w:rFonts w:ascii="宋体" w:hAnsi="宋体"/>
          <w:i/>
          <w:iCs/>
          <w:sz w:val="24"/>
          <w:u w:val="single"/>
        </w:rPr>
        <w:t>；</w:t>
      </w:r>
    </w:p>
    <w:p w14:paraId="79AF122C">
      <w:pPr>
        <w:widowControl/>
        <w:spacing w:line="500" w:lineRule="exact"/>
        <w:ind w:firstLine="480"/>
        <w:rPr>
          <w:rFonts w:hint="eastAsia" w:ascii="宋体" w:hAnsi="宋体"/>
          <w:i/>
          <w:iCs/>
          <w:sz w:val="24"/>
          <w:u w:val="single"/>
        </w:rPr>
      </w:pPr>
    </w:p>
    <w:p w14:paraId="08B6A158">
      <w:pPr>
        <w:widowControl/>
        <w:spacing w:line="500" w:lineRule="exact"/>
        <w:ind w:firstLine="480"/>
        <w:rPr>
          <w:rFonts w:ascii="宋体" w:hAnsi="宋体"/>
          <w:i/>
          <w:iCs/>
          <w:sz w:val="24"/>
          <w:u w:val="single"/>
        </w:rPr>
      </w:pPr>
      <w:r>
        <w:rPr>
          <w:rFonts w:ascii="宋体" w:hAnsi="宋体"/>
          <w:i/>
          <w:iCs/>
          <w:sz w:val="24"/>
          <w:u w:val="single"/>
        </w:rPr>
        <w:t>（</w:t>
      </w:r>
      <w:r>
        <w:rPr>
          <w:rFonts w:hint="eastAsia" w:ascii="宋体" w:hAnsi="宋体"/>
          <w:i/>
          <w:iCs/>
          <w:sz w:val="24"/>
          <w:u w:val="single"/>
        </w:rPr>
        <w:t>5</w:t>
      </w:r>
      <w:r>
        <w:rPr>
          <w:rFonts w:ascii="宋体" w:hAnsi="宋体"/>
          <w:i/>
          <w:iCs/>
          <w:sz w:val="24"/>
          <w:u w:val="single"/>
        </w:rPr>
        <w:t>）参加</w:t>
      </w:r>
      <w:r>
        <w:rPr>
          <w:rFonts w:hint="eastAsia" w:ascii="宋体" w:hAnsi="宋体"/>
          <w:i/>
          <w:iCs/>
          <w:sz w:val="24"/>
          <w:u w:val="single"/>
        </w:rPr>
        <w:t>本次</w:t>
      </w:r>
      <w:r>
        <w:rPr>
          <w:rFonts w:ascii="宋体" w:hAnsi="宋体"/>
          <w:i/>
          <w:iCs/>
          <w:sz w:val="24"/>
          <w:u w:val="single"/>
        </w:rPr>
        <w:t>政府采购活动前3年内在经营活动中没有重大违法记录的书面声明；</w:t>
      </w:r>
    </w:p>
    <w:p w14:paraId="3B60F95F">
      <w:pPr>
        <w:widowControl/>
        <w:spacing w:line="500" w:lineRule="exact"/>
        <w:ind w:firstLine="480"/>
        <w:rPr>
          <w:rFonts w:hint="eastAsia" w:ascii="宋体" w:hAnsi="宋体"/>
          <w:i/>
          <w:iCs/>
          <w:sz w:val="24"/>
          <w:u w:val="single"/>
        </w:rPr>
      </w:pPr>
    </w:p>
    <w:p w14:paraId="067F4B43">
      <w:pPr>
        <w:widowControl/>
        <w:spacing w:line="500" w:lineRule="exact"/>
        <w:rPr>
          <w:rFonts w:ascii="宋体" w:hAnsi="宋体"/>
          <w:i/>
          <w:iCs/>
          <w:sz w:val="24"/>
          <w:u w:val="single"/>
        </w:rPr>
      </w:pPr>
    </w:p>
    <w:p w14:paraId="43F54FB0">
      <w:pPr>
        <w:widowControl/>
        <w:spacing w:line="500" w:lineRule="exact"/>
        <w:rPr>
          <w:rFonts w:ascii="宋体" w:hAnsi="宋体"/>
          <w:i/>
          <w:iCs/>
          <w:sz w:val="24"/>
          <w:u w:val="single"/>
        </w:rPr>
      </w:pPr>
    </w:p>
    <w:p w14:paraId="4F96B22E">
      <w:pPr>
        <w:widowControl/>
        <w:spacing w:line="500" w:lineRule="exact"/>
        <w:rPr>
          <w:rFonts w:ascii="宋体" w:hAnsi="宋体"/>
          <w:i/>
          <w:iCs/>
          <w:sz w:val="24"/>
          <w:u w:val="single"/>
        </w:rPr>
      </w:pPr>
    </w:p>
    <w:p w14:paraId="75B71E73">
      <w:pPr>
        <w:widowControl/>
        <w:spacing w:line="500" w:lineRule="exact"/>
        <w:rPr>
          <w:rFonts w:hint="eastAsia" w:ascii="宋体" w:hAnsi="宋体"/>
          <w:sz w:val="24"/>
        </w:rPr>
      </w:pPr>
    </w:p>
    <w:p w14:paraId="0B896F5D">
      <w:pPr>
        <w:widowControl/>
        <w:spacing w:line="500" w:lineRule="exact"/>
        <w:rPr>
          <w:rFonts w:ascii="宋体" w:hAnsi="宋体"/>
          <w:sz w:val="24"/>
        </w:rPr>
      </w:pPr>
    </w:p>
    <w:p w14:paraId="2D6174EA">
      <w:pPr>
        <w:widowControl/>
        <w:spacing w:line="500" w:lineRule="exact"/>
        <w:rPr>
          <w:rFonts w:ascii="宋体" w:hAnsi="宋体"/>
          <w:sz w:val="24"/>
        </w:rPr>
      </w:pPr>
    </w:p>
    <w:p w14:paraId="59A232DB">
      <w:pPr>
        <w:widowControl/>
        <w:spacing w:line="500" w:lineRule="exact"/>
        <w:rPr>
          <w:rFonts w:ascii="宋体" w:hAnsi="宋体"/>
          <w:sz w:val="24"/>
        </w:rPr>
      </w:pPr>
    </w:p>
    <w:p w14:paraId="19A694F4">
      <w:pPr>
        <w:widowControl/>
        <w:spacing w:line="500" w:lineRule="exact"/>
        <w:rPr>
          <w:rFonts w:ascii="宋体" w:hAnsi="宋体"/>
          <w:sz w:val="24"/>
        </w:rPr>
      </w:pPr>
    </w:p>
    <w:p w14:paraId="74542D41">
      <w:pPr>
        <w:widowControl/>
        <w:spacing w:line="500" w:lineRule="exact"/>
        <w:rPr>
          <w:rFonts w:ascii="宋体" w:hAnsi="宋体"/>
          <w:sz w:val="24"/>
        </w:rPr>
      </w:pPr>
    </w:p>
    <w:p w14:paraId="705296A6">
      <w:pPr>
        <w:widowControl/>
        <w:spacing w:line="500" w:lineRule="exact"/>
        <w:rPr>
          <w:rFonts w:ascii="宋体" w:hAnsi="宋体"/>
          <w:sz w:val="24"/>
        </w:rPr>
      </w:pPr>
    </w:p>
    <w:p w14:paraId="65D3D6A3">
      <w:pPr>
        <w:widowControl/>
        <w:spacing w:line="500" w:lineRule="exact"/>
        <w:rPr>
          <w:rFonts w:hint="eastAsia" w:ascii="宋体" w:hAnsi="宋体"/>
          <w:sz w:val="24"/>
        </w:rPr>
      </w:pPr>
    </w:p>
    <w:p w14:paraId="3729281D">
      <w:pPr>
        <w:pStyle w:val="186"/>
        <w:rPr>
          <w:rFonts w:ascii="宋体" w:hAnsi="宋体"/>
          <w:sz w:val="24"/>
        </w:rPr>
      </w:pPr>
      <w:r>
        <w:rPr>
          <w:rFonts w:hint="eastAsia" w:ascii="Arial" w:hAnsi="Arial" w:cs="Arial"/>
          <w:sz w:val="24"/>
        </w:rPr>
        <w:t>格式一：</w:t>
      </w:r>
      <w:r>
        <w:rPr>
          <w:rFonts w:hint="eastAsia" w:ascii="宋体" w:hAnsi="宋体"/>
          <w:sz w:val="24"/>
        </w:rPr>
        <w:t>参加政府采购活动前三年内，在经营活动中没有重大违法记录的书面声明格式</w:t>
      </w:r>
    </w:p>
    <w:p w14:paraId="217806CE">
      <w:pPr>
        <w:jc w:val="center"/>
        <w:rPr>
          <w:rFonts w:hint="eastAsia" w:ascii="宋体" w:hAnsi="宋体"/>
          <w:b/>
          <w:sz w:val="24"/>
        </w:rPr>
      </w:pPr>
      <w:r>
        <w:rPr>
          <w:rFonts w:hint="eastAsia" w:ascii="宋体" w:hAnsi="宋体"/>
          <w:b/>
          <w:sz w:val="30"/>
          <w:szCs w:val="36"/>
        </w:rPr>
        <w:t>无重大违法记录声明</w:t>
      </w:r>
    </w:p>
    <w:p w14:paraId="21896C75">
      <w:pPr>
        <w:spacing w:line="360" w:lineRule="auto"/>
        <w:rPr>
          <w:rFonts w:ascii="宋体" w:hAnsi="宋体"/>
          <w:sz w:val="24"/>
          <w:szCs w:val="24"/>
        </w:rPr>
      </w:pPr>
    </w:p>
    <w:p w14:paraId="61F1D66E">
      <w:pPr>
        <w:spacing w:line="360" w:lineRule="auto"/>
        <w:rPr>
          <w:rFonts w:hint="eastAsia" w:ascii="宋体" w:hAnsi="宋体" w:eastAsia="宋体"/>
          <w:sz w:val="24"/>
          <w:szCs w:val="24"/>
          <w:lang w:eastAsia="zh-CN"/>
        </w:rPr>
      </w:pPr>
      <w:r>
        <w:rPr>
          <w:rFonts w:hint="eastAsia" w:ascii="宋体" w:hAnsi="宋体"/>
          <w:sz w:val="24"/>
          <w:szCs w:val="24"/>
        </w:rPr>
        <w:t>致：</w:t>
      </w:r>
      <w:r>
        <w:rPr>
          <w:rFonts w:hint="eastAsia" w:ascii="宋体" w:hAnsi="宋体"/>
          <w:sz w:val="24"/>
          <w:szCs w:val="24"/>
          <w:lang w:eastAsia="zh-CN"/>
        </w:rPr>
        <w:t>中邮建技术有限公司</w:t>
      </w:r>
    </w:p>
    <w:p w14:paraId="27F7BB52">
      <w:pPr>
        <w:spacing w:line="360" w:lineRule="auto"/>
        <w:rPr>
          <w:rFonts w:hint="eastAsia" w:ascii="宋体" w:hAnsi="宋体"/>
          <w:sz w:val="24"/>
          <w:szCs w:val="24"/>
        </w:rPr>
      </w:pPr>
    </w:p>
    <w:p w14:paraId="10D7502A">
      <w:pPr>
        <w:spacing w:line="360" w:lineRule="auto"/>
        <w:ind w:left="-42" w:right="357" w:firstLine="480"/>
        <w:rPr>
          <w:sz w:val="24"/>
          <w:szCs w:val="24"/>
        </w:rPr>
      </w:pPr>
      <w:r>
        <w:rPr>
          <w:rFonts w:hint="eastAsia"/>
          <w:sz w:val="24"/>
          <w:szCs w:val="24"/>
        </w:rPr>
        <w:t>我公司</w:t>
      </w:r>
      <w:r>
        <w:rPr>
          <w:rFonts w:hint="eastAsia" w:ascii="宋体" w:hAnsi="宋体"/>
          <w:sz w:val="24"/>
          <w:szCs w:val="24"/>
          <w:u w:val="single"/>
        </w:rPr>
        <w:t xml:space="preserve">                             （投标人名称）</w:t>
      </w:r>
      <w:r>
        <w:rPr>
          <w:rFonts w:hint="eastAsia"/>
          <w:sz w:val="24"/>
          <w:szCs w:val="24"/>
        </w:rPr>
        <w:t>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p>
    <w:p w14:paraId="754E3E95">
      <w:pPr>
        <w:spacing w:line="360" w:lineRule="auto"/>
        <w:ind w:left="-42" w:right="357" w:firstLine="480"/>
        <w:rPr>
          <w:sz w:val="24"/>
          <w:szCs w:val="24"/>
        </w:rPr>
      </w:pPr>
    </w:p>
    <w:p w14:paraId="245070F0">
      <w:pPr>
        <w:spacing w:line="360" w:lineRule="auto"/>
        <w:ind w:left="-42" w:right="357" w:firstLine="480"/>
        <w:rPr>
          <w:sz w:val="24"/>
          <w:szCs w:val="24"/>
        </w:rPr>
      </w:pPr>
    </w:p>
    <w:p w14:paraId="0CF81A53">
      <w:pPr>
        <w:spacing w:line="360" w:lineRule="auto"/>
        <w:ind w:left="-42" w:right="357" w:firstLine="480"/>
        <w:rPr>
          <w:sz w:val="24"/>
          <w:szCs w:val="24"/>
        </w:rPr>
      </w:pPr>
    </w:p>
    <w:p w14:paraId="0CF7ED96">
      <w:pPr>
        <w:spacing w:line="360" w:lineRule="auto"/>
        <w:ind w:left="-42" w:right="357" w:firstLine="480"/>
        <w:rPr>
          <w:sz w:val="24"/>
          <w:szCs w:val="24"/>
        </w:rPr>
      </w:pPr>
    </w:p>
    <w:p w14:paraId="7044EEE4">
      <w:pPr>
        <w:spacing w:line="360" w:lineRule="auto"/>
        <w:ind w:left="-42" w:right="357" w:firstLine="480"/>
        <w:rPr>
          <w:sz w:val="24"/>
          <w:szCs w:val="24"/>
        </w:rPr>
      </w:pPr>
    </w:p>
    <w:p w14:paraId="3BEA8909">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474ED201">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199C89F8">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484C14FF">
      <w:pPr>
        <w:spacing w:line="360" w:lineRule="auto"/>
        <w:ind w:right="357"/>
        <w:rPr>
          <w:b/>
          <w:sz w:val="24"/>
          <w:szCs w:val="24"/>
        </w:rPr>
      </w:pPr>
    </w:p>
    <w:p w14:paraId="59C50A31">
      <w:pPr>
        <w:spacing w:line="360" w:lineRule="auto"/>
        <w:ind w:right="357"/>
        <w:rPr>
          <w:b/>
          <w:sz w:val="24"/>
          <w:szCs w:val="24"/>
        </w:rPr>
      </w:pPr>
    </w:p>
    <w:p w14:paraId="0319B9CB">
      <w:pPr>
        <w:spacing w:line="360" w:lineRule="auto"/>
        <w:ind w:right="357"/>
        <w:rPr>
          <w:b/>
          <w:sz w:val="24"/>
          <w:szCs w:val="24"/>
        </w:rPr>
      </w:pPr>
    </w:p>
    <w:p w14:paraId="4E84E010">
      <w:pPr>
        <w:spacing w:line="360" w:lineRule="auto"/>
        <w:ind w:right="357"/>
        <w:rPr>
          <w:b/>
          <w:sz w:val="24"/>
          <w:szCs w:val="24"/>
        </w:rPr>
      </w:pPr>
    </w:p>
    <w:p w14:paraId="40264E2F">
      <w:pPr>
        <w:spacing w:line="360" w:lineRule="auto"/>
        <w:ind w:right="357"/>
        <w:rPr>
          <w:b/>
          <w:sz w:val="24"/>
          <w:szCs w:val="24"/>
        </w:rPr>
      </w:pPr>
    </w:p>
    <w:p w14:paraId="23364FD7">
      <w:pPr>
        <w:spacing w:line="360" w:lineRule="auto"/>
        <w:ind w:right="357"/>
        <w:rPr>
          <w:b/>
          <w:sz w:val="24"/>
          <w:szCs w:val="24"/>
        </w:rPr>
      </w:pPr>
    </w:p>
    <w:p w14:paraId="683B7E68">
      <w:pPr>
        <w:spacing w:line="360" w:lineRule="auto"/>
        <w:ind w:right="357"/>
        <w:rPr>
          <w:b/>
          <w:sz w:val="24"/>
          <w:szCs w:val="24"/>
        </w:rPr>
      </w:pPr>
    </w:p>
    <w:p w14:paraId="3470340F">
      <w:pPr>
        <w:spacing w:line="360" w:lineRule="auto"/>
        <w:ind w:right="357"/>
        <w:rPr>
          <w:b/>
          <w:sz w:val="24"/>
          <w:szCs w:val="24"/>
        </w:rPr>
      </w:pPr>
    </w:p>
    <w:p w14:paraId="24B1DC2D">
      <w:pPr>
        <w:spacing w:line="360" w:lineRule="auto"/>
        <w:ind w:right="357"/>
        <w:rPr>
          <w:b/>
          <w:sz w:val="24"/>
          <w:szCs w:val="24"/>
        </w:rPr>
      </w:pPr>
    </w:p>
    <w:p w14:paraId="22239948">
      <w:pPr>
        <w:spacing w:line="360" w:lineRule="auto"/>
        <w:ind w:right="357"/>
        <w:rPr>
          <w:b/>
          <w:sz w:val="24"/>
          <w:szCs w:val="24"/>
        </w:rPr>
      </w:pPr>
    </w:p>
    <w:p w14:paraId="11F44014">
      <w:pPr>
        <w:spacing w:line="360" w:lineRule="auto"/>
        <w:ind w:right="357"/>
        <w:rPr>
          <w:b/>
          <w:sz w:val="24"/>
          <w:szCs w:val="24"/>
        </w:rPr>
      </w:pPr>
    </w:p>
    <w:p w14:paraId="2CCF512A">
      <w:pPr>
        <w:spacing w:line="360" w:lineRule="auto"/>
        <w:ind w:right="357"/>
        <w:rPr>
          <w:b/>
          <w:sz w:val="24"/>
          <w:szCs w:val="24"/>
        </w:rPr>
      </w:pPr>
    </w:p>
    <w:p w14:paraId="240E1F59">
      <w:pPr>
        <w:spacing w:line="360" w:lineRule="auto"/>
        <w:ind w:right="357"/>
        <w:rPr>
          <w:b/>
          <w:sz w:val="24"/>
          <w:szCs w:val="24"/>
        </w:rPr>
      </w:pPr>
    </w:p>
    <w:p w14:paraId="4BCE7D25">
      <w:pPr>
        <w:spacing w:line="360" w:lineRule="auto"/>
        <w:ind w:right="357"/>
        <w:rPr>
          <w:b/>
          <w:sz w:val="24"/>
          <w:szCs w:val="24"/>
        </w:rPr>
      </w:pPr>
    </w:p>
    <w:p w14:paraId="7EA42BB2">
      <w:pPr>
        <w:spacing w:line="360" w:lineRule="auto"/>
        <w:ind w:right="357"/>
        <w:rPr>
          <w:rFonts w:hint="eastAsia"/>
          <w:b/>
          <w:sz w:val="24"/>
          <w:szCs w:val="24"/>
        </w:rPr>
      </w:pPr>
    </w:p>
    <w:p w14:paraId="6F8A98AE">
      <w:pPr>
        <w:pStyle w:val="186"/>
        <w:rPr>
          <w:rFonts w:ascii="Arial" w:hAnsi="Arial" w:cs="Arial"/>
          <w:sz w:val="24"/>
        </w:rPr>
      </w:pPr>
      <w:r>
        <w:rPr>
          <w:rFonts w:hint="eastAsia" w:ascii="Arial" w:hAnsi="Arial" w:cs="Arial"/>
          <w:sz w:val="24"/>
        </w:rPr>
        <w:t>格式二：具备履行合同所必需的设备和专业技术能力的声明格式及证明材料</w:t>
      </w:r>
    </w:p>
    <w:p w14:paraId="2A9CCD55">
      <w:pPr>
        <w:widowControl/>
        <w:shd w:val="clear" w:color="auto" w:fill="FFFFFF"/>
        <w:spacing w:line="360" w:lineRule="auto"/>
        <w:ind w:left="420"/>
        <w:jc w:val="center"/>
        <w:rPr>
          <w:rFonts w:ascii="宋体" w:hAnsi="宋体"/>
          <w:b/>
          <w:sz w:val="30"/>
          <w:szCs w:val="36"/>
        </w:rPr>
      </w:pPr>
      <w:r>
        <w:rPr>
          <w:rFonts w:ascii="宋体" w:hAnsi="宋体"/>
          <w:b/>
          <w:sz w:val="30"/>
          <w:szCs w:val="36"/>
        </w:rPr>
        <w:t>具备履行合同所必需的设备和专业技术能力的声明格式</w:t>
      </w:r>
    </w:p>
    <w:p w14:paraId="31CFE1BC">
      <w:pPr>
        <w:spacing w:line="360" w:lineRule="auto"/>
        <w:rPr>
          <w:rFonts w:ascii="宋体" w:hAnsi="宋体"/>
          <w:sz w:val="24"/>
        </w:rPr>
      </w:pPr>
    </w:p>
    <w:p w14:paraId="1D360315">
      <w:pPr>
        <w:spacing w:line="360" w:lineRule="auto"/>
        <w:rPr>
          <w:rFonts w:hint="eastAsia" w:ascii="宋体" w:hAnsi="宋体" w:eastAsia="宋体"/>
          <w:sz w:val="24"/>
          <w:szCs w:val="24"/>
          <w:lang w:eastAsia="zh-CN"/>
        </w:rPr>
      </w:pPr>
      <w:r>
        <w:rPr>
          <w:rFonts w:hint="eastAsia" w:ascii="宋体" w:hAnsi="宋体"/>
          <w:sz w:val="24"/>
          <w:szCs w:val="24"/>
        </w:rPr>
        <w:t>致：</w:t>
      </w:r>
      <w:r>
        <w:rPr>
          <w:rFonts w:hint="eastAsia" w:ascii="宋体" w:hAnsi="宋体"/>
          <w:sz w:val="24"/>
          <w:szCs w:val="24"/>
          <w:lang w:eastAsia="zh-CN"/>
        </w:rPr>
        <w:t>中邮建技术有限公司</w:t>
      </w:r>
    </w:p>
    <w:p w14:paraId="71913A79">
      <w:pPr>
        <w:spacing w:line="360" w:lineRule="auto"/>
        <w:rPr>
          <w:rFonts w:hint="eastAsia" w:ascii="宋体" w:hAnsi="宋体"/>
          <w:sz w:val="24"/>
          <w:szCs w:val="24"/>
        </w:rPr>
      </w:pPr>
    </w:p>
    <w:p w14:paraId="55316130">
      <w:pPr>
        <w:spacing w:line="460" w:lineRule="exact"/>
        <w:ind w:firstLine="492"/>
        <w:rPr>
          <w:rFonts w:hint="eastAsia" w:ascii="宋体" w:hAnsi="宋体"/>
          <w:sz w:val="24"/>
          <w:szCs w:val="24"/>
        </w:rPr>
      </w:pPr>
      <w:r>
        <w:rPr>
          <w:rFonts w:hint="eastAsia" w:ascii="宋体" w:hAnsi="宋体"/>
          <w:sz w:val="24"/>
          <w:szCs w:val="24"/>
        </w:rPr>
        <w:t>我公司</w:t>
      </w:r>
      <w:r>
        <w:rPr>
          <w:rFonts w:hint="eastAsia" w:ascii="宋体" w:hAnsi="宋体"/>
          <w:sz w:val="24"/>
          <w:szCs w:val="24"/>
          <w:u w:val="single"/>
        </w:rPr>
        <w:t xml:space="preserve">                             （投标人名称）</w:t>
      </w:r>
      <w:r>
        <w:rPr>
          <w:rFonts w:hint="eastAsia" w:ascii="宋体" w:hAnsi="宋体"/>
          <w:sz w:val="24"/>
          <w:szCs w:val="24"/>
        </w:rPr>
        <w:t>郑重声明：我公司具备履行本项采购合同所必需的设备和专业技术能力，为履行本项采购合同我单位具备如下主要设备和主要专业技术能力：</w:t>
      </w:r>
    </w:p>
    <w:p w14:paraId="0012DC05">
      <w:pPr>
        <w:spacing w:line="460" w:lineRule="exact"/>
        <w:ind w:firstLine="492"/>
        <w:rPr>
          <w:rFonts w:hint="eastAsia" w:ascii="宋体" w:hAnsi="宋体"/>
          <w:sz w:val="24"/>
          <w:szCs w:val="24"/>
        </w:rPr>
      </w:pPr>
      <w:r>
        <w:rPr>
          <w:rFonts w:hint="eastAsia" w:ascii="宋体" w:hAnsi="宋体"/>
          <w:sz w:val="24"/>
          <w:szCs w:val="24"/>
        </w:rPr>
        <w:t>主要设备有：</w:t>
      </w:r>
      <w:r>
        <w:rPr>
          <w:rFonts w:hint="eastAsia" w:ascii="宋体" w:hAnsi="宋体"/>
          <w:sz w:val="24"/>
          <w:szCs w:val="24"/>
          <w:u w:val="single"/>
        </w:rPr>
        <w:t xml:space="preserve">                          </w:t>
      </w:r>
      <w:r>
        <w:rPr>
          <w:rFonts w:hint="eastAsia" w:ascii="宋体" w:hAnsi="宋体"/>
          <w:sz w:val="24"/>
          <w:szCs w:val="24"/>
        </w:rPr>
        <w:t>。( 若有 )</w:t>
      </w:r>
    </w:p>
    <w:p w14:paraId="2157634F">
      <w:pPr>
        <w:spacing w:line="460" w:lineRule="exact"/>
        <w:ind w:firstLine="492"/>
        <w:rPr>
          <w:rFonts w:hint="eastAsia" w:ascii="宋体" w:hAnsi="宋体"/>
          <w:sz w:val="24"/>
          <w:szCs w:val="24"/>
        </w:rPr>
      </w:pPr>
      <w:r>
        <w:rPr>
          <w:rFonts w:hint="eastAsia" w:ascii="宋体" w:hAnsi="宋体"/>
          <w:sz w:val="24"/>
          <w:szCs w:val="24"/>
        </w:rPr>
        <w:t>主要专业技术能力有：</w:t>
      </w:r>
      <w:r>
        <w:rPr>
          <w:rFonts w:hint="eastAsia" w:ascii="宋体" w:hAnsi="宋体"/>
          <w:sz w:val="24"/>
          <w:szCs w:val="24"/>
          <w:u w:val="single"/>
        </w:rPr>
        <w:t xml:space="preserve">                  </w:t>
      </w:r>
      <w:r>
        <w:rPr>
          <w:rFonts w:hint="eastAsia" w:ascii="宋体" w:hAnsi="宋体"/>
          <w:sz w:val="24"/>
          <w:szCs w:val="24"/>
        </w:rPr>
        <w:t>。( 若有 )</w:t>
      </w:r>
    </w:p>
    <w:p w14:paraId="12E755FA">
      <w:pPr>
        <w:spacing w:line="360" w:lineRule="auto"/>
        <w:rPr>
          <w:rFonts w:hint="eastAsia"/>
          <w:sz w:val="24"/>
          <w:szCs w:val="24"/>
        </w:rPr>
      </w:pPr>
    </w:p>
    <w:p w14:paraId="69E9FC31">
      <w:pPr>
        <w:spacing w:line="360" w:lineRule="auto"/>
        <w:ind w:left="2520"/>
        <w:rPr>
          <w:rFonts w:ascii="宋体" w:hAnsi="宋体" w:cs="Arial"/>
          <w:sz w:val="24"/>
          <w:szCs w:val="24"/>
        </w:rPr>
      </w:pPr>
    </w:p>
    <w:p w14:paraId="1B6108E1">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7319887A">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3BD8030F">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5B194D4F">
      <w:pPr>
        <w:spacing w:line="360" w:lineRule="auto"/>
        <w:rPr>
          <w:rFonts w:hint="eastAsia"/>
          <w:sz w:val="24"/>
          <w:szCs w:val="24"/>
        </w:rPr>
      </w:pPr>
    </w:p>
    <w:p w14:paraId="317C1AD6">
      <w:pPr>
        <w:spacing w:line="460" w:lineRule="exact"/>
        <w:ind w:firstLine="492"/>
        <w:rPr>
          <w:rFonts w:hint="eastAsia"/>
          <w:sz w:val="24"/>
          <w:szCs w:val="24"/>
        </w:rPr>
      </w:pPr>
      <w:r>
        <w:rPr>
          <w:rFonts w:hint="eastAsia"/>
          <w:sz w:val="24"/>
          <w:szCs w:val="24"/>
        </w:rPr>
        <w:t>其他证明材料及文件：（如果投标人认为需要提供的话）</w:t>
      </w:r>
    </w:p>
    <w:p w14:paraId="6D1C6FCB">
      <w:pPr>
        <w:pStyle w:val="207"/>
        <w:spacing w:after="120" w:line="360" w:lineRule="auto"/>
        <w:rPr>
          <w:rFonts w:ascii="Arial" w:hAnsi="Arial" w:eastAsia="宋体" w:cs="Arial"/>
          <w:sz w:val="24"/>
        </w:rPr>
      </w:pPr>
    </w:p>
    <w:p w14:paraId="79534625">
      <w:pPr>
        <w:spacing w:line="360" w:lineRule="auto"/>
        <w:ind w:right="357"/>
        <w:rPr>
          <w:rFonts w:hint="eastAsia"/>
          <w:b/>
          <w:sz w:val="24"/>
          <w:szCs w:val="24"/>
        </w:rPr>
      </w:pPr>
    </w:p>
    <w:p w14:paraId="7A05F397">
      <w:pPr>
        <w:outlineLvl w:val="9"/>
        <w:rPr>
          <w:rFonts w:ascii="Arial" w:hAnsi="Arial" w:cs="Arial"/>
        </w:rPr>
      </w:pPr>
    </w:p>
    <w:p w14:paraId="12EB97C7"/>
    <w:p w14:paraId="02045DA8"/>
    <w:p w14:paraId="447E8880"/>
    <w:p w14:paraId="5022270E"/>
    <w:p w14:paraId="7449752E"/>
    <w:p w14:paraId="05D13C53"/>
    <w:p w14:paraId="0E35507F"/>
    <w:p w14:paraId="15C1DF35"/>
    <w:p w14:paraId="4236DC8C"/>
    <w:p w14:paraId="73164BA0"/>
    <w:p w14:paraId="683D9C4D"/>
    <w:p w14:paraId="4C3F87BB"/>
    <w:p w14:paraId="06892079"/>
    <w:p w14:paraId="78375436"/>
    <w:p w14:paraId="6072D50D"/>
    <w:p w14:paraId="2481FBC2">
      <w:pPr>
        <w:pStyle w:val="186"/>
        <w:rPr>
          <w:rFonts w:ascii="Arial" w:hAnsi="Arial" w:cs="Arial"/>
          <w:sz w:val="24"/>
        </w:rPr>
      </w:pPr>
      <w:r>
        <w:rPr>
          <w:rFonts w:hint="eastAsia" w:ascii="Arial" w:hAnsi="Arial" w:cs="Arial"/>
          <w:sz w:val="24"/>
          <w:lang w:val="en-US" w:eastAsia="zh-CN"/>
        </w:rPr>
        <w:t>1</w:t>
      </w:r>
      <w:r>
        <w:rPr>
          <w:rFonts w:hint="eastAsia" w:ascii="Arial" w:hAnsi="Arial" w:cs="Arial"/>
          <w:sz w:val="24"/>
        </w:rPr>
        <w:t>、</w:t>
      </w:r>
      <w:r>
        <w:rPr>
          <w:rFonts w:ascii="Arial" w:hAnsi="Arial" w:cs="Arial"/>
          <w:sz w:val="24"/>
        </w:rPr>
        <w:t>法定代表人授权委托书</w:t>
      </w:r>
    </w:p>
    <w:p w14:paraId="3C110047">
      <w:pPr>
        <w:pStyle w:val="189"/>
        <w:ind w:firstLine="0"/>
        <w:rPr>
          <w:rFonts w:ascii="Arial" w:hAnsi="Arial" w:eastAsia="宋体" w:cs="Arial"/>
        </w:rPr>
      </w:pPr>
    </w:p>
    <w:p w14:paraId="5F075366">
      <w:pPr>
        <w:pStyle w:val="189"/>
        <w:jc w:val="center"/>
        <w:rPr>
          <w:rFonts w:ascii="Arial" w:hAnsi="Arial" w:eastAsia="宋体" w:cs="Arial"/>
        </w:rPr>
      </w:pPr>
    </w:p>
    <w:p w14:paraId="631B2118">
      <w:pPr>
        <w:pStyle w:val="189"/>
        <w:spacing w:line="360" w:lineRule="auto"/>
        <w:ind w:firstLine="0"/>
        <w:jc w:val="center"/>
        <w:rPr>
          <w:rFonts w:ascii="Arial" w:hAnsi="Arial" w:eastAsia="宋体" w:cs="Arial"/>
          <w:b/>
        </w:rPr>
      </w:pPr>
      <w:r>
        <w:rPr>
          <w:rFonts w:hint="eastAsia" w:ascii="Arial" w:hAnsi="Arial" w:eastAsia="宋体" w:cs="Arial"/>
          <w:b/>
        </w:rPr>
        <w:t>法定代表人</w:t>
      </w:r>
      <w:r>
        <w:rPr>
          <w:rFonts w:ascii="Arial" w:hAnsi="Arial" w:eastAsia="宋体" w:cs="Arial"/>
          <w:b/>
        </w:rPr>
        <w:t>授权委托书</w:t>
      </w:r>
    </w:p>
    <w:p w14:paraId="34F96281">
      <w:pPr>
        <w:pStyle w:val="189"/>
        <w:spacing w:line="360" w:lineRule="auto"/>
        <w:rPr>
          <w:rFonts w:ascii="Arial" w:hAnsi="Arial" w:eastAsia="宋体" w:cs="Arial"/>
        </w:rPr>
      </w:pPr>
    </w:p>
    <w:p w14:paraId="752F2D5E">
      <w:pPr>
        <w:tabs>
          <w:tab w:val="left" w:pos="360"/>
        </w:tabs>
        <w:spacing w:line="360" w:lineRule="auto"/>
        <w:ind w:firstLine="480"/>
        <w:rPr>
          <w:rFonts w:hint="eastAsia" w:ascii="宋体" w:hAnsi="宋体" w:cs="宋体"/>
          <w:sz w:val="24"/>
        </w:rPr>
      </w:pPr>
      <w:r>
        <w:rPr>
          <w:rFonts w:hint="eastAsia" w:ascii="宋体" w:hAnsi="宋体" w:cs="宋体"/>
          <w:sz w:val="24"/>
        </w:rPr>
        <w:t>本授权书声明：____________（投标人名称）授权________________（被授权人的姓名）为我方就</w:t>
      </w:r>
      <w:r>
        <w:rPr>
          <w:rFonts w:hint="eastAsia" w:ascii="宋体" w:hAnsi="宋体" w:cs="宋体"/>
          <w:sz w:val="24"/>
          <w:lang w:eastAsia="zh-CN"/>
        </w:rPr>
        <w:t>（项目编号：）（</w:t>
      </w:r>
      <w:r>
        <w:rPr>
          <w:rFonts w:hint="eastAsia" w:ascii="宋体" w:hAnsi="宋体" w:cs="宋体"/>
          <w:sz w:val="24"/>
        </w:rPr>
        <w:t>项目</w:t>
      </w:r>
      <w:r>
        <w:rPr>
          <w:rFonts w:hint="eastAsia" w:ascii="宋体" w:hAnsi="宋体" w:cs="宋体"/>
          <w:sz w:val="24"/>
          <w:lang w:eastAsia="zh-CN"/>
        </w:rPr>
        <w:t>名称）</w:t>
      </w:r>
      <w:r>
        <w:rPr>
          <w:rFonts w:hint="eastAsia" w:ascii="宋体" w:hAnsi="宋体" w:cs="宋体"/>
          <w:sz w:val="24"/>
        </w:rPr>
        <w:t>采购活动的合法代理人，以本单位名义全权处理一切与该项目采购有关的事务。</w:t>
      </w:r>
    </w:p>
    <w:p w14:paraId="0C332371">
      <w:pPr>
        <w:tabs>
          <w:tab w:val="left" w:pos="360"/>
        </w:tabs>
        <w:spacing w:line="360" w:lineRule="auto"/>
        <w:ind w:firstLine="480"/>
        <w:rPr>
          <w:rFonts w:hint="eastAsia" w:ascii="宋体" w:hAnsi="宋体" w:cs="宋体"/>
          <w:sz w:val="24"/>
        </w:rPr>
      </w:pPr>
      <w:r>
        <w:rPr>
          <w:rFonts w:hint="eastAsia" w:ascii="宋体" w:hAnsi="宋体" w:cs="宋体"/>
          <w:sz w:val="24"/>
        </w:rPr>
        <w:t>本授权书于______年____月____日起生效，特此声明。</w:t>
      </w:r>
    </w:p>
    <w:p w14:paraId="6080A7FF">
      <w:pPr>
        <w:tabs>
          <w:tab w:val="left" w:pos="360"/>
        </w:tabs>
        <w:spacing w:line="360" w:lineRule="auto"/>
        <w:rPr>
          <w:rFonts w:hint="eastAsia" w:ascii="宋体" w:hAnsi="宋体" w:cs="宋体"/>
          <w:sz w:val="24"/>
          <w:u w:val="single"/>
        </w:rPr>
      </w:pPr>
      <w:r>
        <w:rPr>
          <w:rFonts w:hint="eastAsia" w:ascii="宋体" w:hAnsi="宋体" w:cs="宋体"/>
          <w:sz w:val="24"/>
        </w:rPr>
        <w:t xml:space="preserve">          被授权人身份证号码：</w:t>
      </w:r>
      <w:r>
        <w:rPr>
          <w:rFonts w:hint="eastAsia" w:ascii="宋体" w:hAnsi="宋体" w:cs="宋体"/>
          <w:sz w:val="24"/>
          <w:u w:val="single"/>
        </w:rPr>
        <w:t xml:space="preserve">                              </w:t>
      </w:r>
    </w:p>
    <w:p w14:paraId="3ED480FD">
      <w:pPr>
        <w:tabs>
          <w:tab w:val="left" w:pos="360"/>
        </w:tabs>
        <w:spacing w:line="360" w:lineRule="auto"/>
        <w:rPr>
          <w:rFonts w:hint="eastAsia" w:ascii="宋体" w:hAnsi="宋体" w:cs="宋体"/>
          <w:sz w:val="24"/>
          <w:u w:val="single"/>
        </w:rPr>
      </w:pPr>
      <w:r>
        <w:rPr>
          <w:rFonts w:hint="eastAsia" w:ascii="宋体" w:hAnsi="宋体" w:cs="宋体"/>
          <w:sz w:val="24"/>
        </w:rPr>
        <w:t xml:space="preserve">          被授权人联系电话：（手机）</w:t>
      </w:r>
      <w:r>
        <w:rPr>
          <w:rFonts w:hint="eastAsia" w:ascii="宋体" w:hAnsi="宋体" w:cs="宋体"/>
          <w:sz w:val="24"/>
          <w:u w:val="single"/>
        </w:rPr>
        <w:t xml:space="preserve">                          </w:t>
      </w:r>
    </w:p>
    <w:p w14:paraId="0B91C37E">
      <w:pPr>
        <w:tabs>
          <w:tab w:val="left" w:pos="360"/>
        </w:tabs>
        <w:spacing w:line="360" w:lineRule="auto"/>
        <w:ind w:firstLine="1200"/>
        <w:rPr>
          <w:rFonts w:ascii="宋体" w:hAnsi="宋体" w:cs="宋体"/>
          <w:sz w:val="24"/>
          <w:u w:val="single"/>
        </w:rPr>
      </w:pPr>
      <w:r>
        <w:rPr>
          <w:rFonts w:hint="eastAsia" w:ascii="宋体" w:hAnsi="宋体" w:cs="宋体"/>
          <w:sz w:val="24"/>
        </w:rPr>
        <w:t>授权单位名称：</w:t>
      </w:r>
      <w:r>
        <w:rPr>
          <w:rFonts w:hint="eastAsia" w:ascii="宋体" w:hAnsi="宋体" w:cs="宋体"/>
          <w:sz w:val="24"/>
          <w:u w:val="single"/>
        </w:rPr>
        <w:t>（加盖CA电子公章）</w:t>
      </w:r>
    </w:p>
    <w:p w14:paraId="39064331">
      <w:pPr>
        <w:tabs>
          <w:tab w:val="left" w:pos="360"/>
        </w:tabs>
        <w:spacing w:line="360" w:lineRule="auto"/>
        <w:ind w:firstLine="1200"/>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（签字或签章）     </w:t>
      </w:r>
    </w:p>
    <w:p w14:paraId="50F49D14">
      <w:pPr>
        <w:tabs>
          <w:tab w:val="left" w:pos="360"/>
        </w:tabs>
        <w:spacing w:line="360" w:lineRule="auto"/>
        <w:ind w:firstLine="480"/>
        <w:rPr>
          <w:rFonts w:hint="eastAsia" w:ascii="宋体" w:hAnsi="宋体" w:cs="宋体"/>
          <w:sz w:val="24"/>
          <w:u w:val="single"/>
        </w:rPr>
      </w:pPr>
      <w:r>
        <w:rPr>
          <w:rFonts w:hint="eastAsia" w:ascii="宋体" w:hAnsi="宋体" w:cs="宋体"/>
          <w:sz w:val="24"/>
        </w:rPr>
        <w:t xml:space="preserve">      单位地址：</w:t>
      </w:r>
      <w:r>
        <w:rPr>
          <w:rFonts w:hint="eastAsia" w:ascii="宋体" w:hAnsi="宋体" w:cs="宋体"/>
          <w:sz w:val="24"/>
          <w:u w:val="single"/>
        </w:rPr>
        <w:t xml:space="preserve">                                     </w:t>
      </w:r>
    </w:p>
    <w:p w14:paraId="5DC0C560">
      <w:pPr>
        <w:tabs>
          <w:tab w:val="left" w:pos="360"/>
        </w:tabs>
        <w:spacing w:line="360" w:lineRule="auto"/>
        <w:ind w:firstLine="480"/>
        <w:rPr>
          <w:rFonts w:hint="eastAsia" w:ascii="宋体" w:hAnsi="宋体" w:cs="宋体"/>
          <w:sz w:val="24"/>
        </w:rPr>
      </w:pPr>
      <w:r>
        <w:rPr>
          <w:rFonts w:hint="eastAsia" w:ascii="宋体" w:hAnsi="宋体" w:cs="宋体"/>
          <w:sz w:val="24"/>
        </w:rPr>
        <w:t xml:space="preserve">      日期：</w:t>
      </w:r>
      <w:bookmarkStart w:id="113" w:name="_Hlt26671380"/>
      <w:bookmarkEnd w:id="113"/>
      <w:bookmarkStart w:id="114" w:name="_Hlt26955070"/>
      <w:bookmarkEnd w:id="114"/>
      <w:bookmarkStart w:id="115" w:name="_格式3__银行出具的资信证明"/>
      <w:bookmarkEnd w:id="115"/>
      <w:r>
        <w:rPr>
          <w:rFonts w:hint="eastAsia" w:ascii="宋体" w:hAnsi="宋体" w:cs="宋体"/>
          <w:sz w:val="24"/>
          <w:u w:val="single"/>
        </w:rPr>
        <w:t xml:space="preserve">                                         </w:t>
      </w:r>
    </w:p>
    <w:p w14:paraId="4D5B81CA">
      <w:pPr>
        <w:pStyle w:val="189"/>
        <w:rPr>
          <w:rFonts w:ascii="Arial" w:hAnsi="Arial" w:eastAsia="宋体" w:cs="Arial"/>
        </w:rPr>
      </w:pPr>
    </w:p>
    <w:p w14:paraId="6F2B0687">
      <w:pPr>
        <w:pStyle w:val="189"/>
        <w:rPr>
          <w:rFonts w:ascii="Arial" w:hAnsi="Arial" w:eastAsia="宋体" w:cs="Arial"/>
        </w:rPr>
      </w:pPr>
    </w:p>
    <w:p w14:paraId="5AA0EA17">
      <w:pPr>
        <w:pStyle w:val="189"/>
        <w:rPr>
          <w:rFonts w:ascii="Arial" w:hAnsi="Arial" w:eastAsia="宋体" w:cs="Arial"/>
        </w:rPr>
      </w:pPr>
    </w:p>
    <w:p w14:paraId="51214C68">
      <w:pPr>
        <w:pStyle w:val="189"/>
        <w:rPr>
          <w:rFonts w:ascii="Arial" w:hAnsi="Arial" w:eastAsia="宋体" w:cs="Arial"/>
        </w:rPr>
      </w:pPr>
    </w:p>
    <w:p w14:paraId="6FDB49B8">
      <w:pPr>
        <w:pStyle w:val="189"/>
        <w:rPr>
          <w:rFonts w:ascii="Arial" w:hAnsi="Arial" w:eastAsia="宋体" w:cs="Arial"/>
        </w:rPr>
      </w:pPr>
      <w:r>
        <w:rPr>
          <w:rFonts w:hint="eastAsia" w:ascii="Arial" w:hAnsi="Arial" w:eastAsia="宋体" w:cs="Arial"/>
        </w:rPr>
        <w:t>附：法定代表人身份证复印件和授权代表身份证复印件</w:t>
      </w:r>
    </w:p>
    <w:p w14:paraId="44C55A74">
      <w:pPr>
        <w:pStyle w:val="189"/>
        <w:rPr>
          <w:rFonts w:ascii="Arial" w:hAnsi="Arial" w:eastAsia="宋体" w:cs="Arial"/>
        </w:rPr>
      </w:pPr>
    </w:p>
    <w:p w14:paraId="0AA6DE5E"/>
    <w:p w14:paraId="2490B297"/>
    <w:p w14:paraId="4AB225C1"/>
    <w:p w14:paraId="3EA1684F"/>
    <w:p w14:paraId="1E41D15D"/>
    <w:p w14:paraId="105F0A23"/>
    <w:p w14:paraId="51ED6189"/>
    <w:p w14:paraId="34C206F5"/>
    <w:p w14:paraId="46ACADEE"/>
    <w:p w14:paraId="0EBA92DE"/>
    <w:p w14:paraId="3A98AF9B"/>
    <w:p w14:paraId="34D67152"/>
    <w:p w14:paraId="4859396E"/>
    <w:p w14:paraId="0D1C5D9B"/>
    <w:p w14:paraId="13BA171D"/>
    <w:p w14:paraId="479D1DCE"/>
    <w:p w14:paraId="6095D9A1"/>
    <w:p w14:paraId="3C8D7B59"/>
    <w:p w14:paraId="56C419DD"/>
    <w:p w14:paraId="5B96DF8F"/>
    <w:p w14:paraId="5079EFDB"/>
    <w:p w14:paraId="308424FE">
      <w:pPr>
        <w:rPr>
          <w:rFonts w:hint="eastAsia"/>
        </w:rPr>
      </w:pPr>
    </w:p>
    <w:p w14:paraId="0F4B4DB6">
      <w:pPr>
        <w:pStyle w:val="186"/>
        <w:spacing w:before="120" w:after="120"/>
        <w:rPr>
          <w:rFonts w:ascii="Arial" w:hAnsi="Arial" w:cs="Arial"/>
          <w:sz w:val="24"/>
        </w:rPr>
      </w:pPr>
      <w:r>
        <w:rPr>
          <w:rFonts w:hint="eastAsia" w:ascii="Arial" w:hAnsi="Arial" w:cs="Arial"/>
          <w:sz w:val="24"/>
          <w:lang w:val="en-US" w:eastAsia="zh-CN"/>
        </w:rPr>
        <w:t>2</w:t>
      </w:r>
      <w:r>
        <w:rPr>
          <w:rFonts w:ascii="Arial" w:hAnsi="Arial" w:cs="Arial"/>
          <w:sz w:val="24"/>
        </w:rPr>
        <w:t>、投标函</w:t>
      </w:r>
    </w:p>
    <w:p w14:paraId="705383B4">
      <w:pPr>
        <w:pStyle w:val="207"/>
        <w:spacing w:before="100" w:beforeAutospacing="1" w:after="100" w:afterAutospacing="1" w:line="360" w:lineRule="auto"/>
        <w:jc w:val="center"/>
        <w:rPr>
          <w:rFonts w:ascii="Arial" w:hAnsi="Arial" w:eastAsia="黑体" w:cs="Arial"/>
          <w:b/>
          <w:sz w:val="32"/>
        </w:rPr>
      </w:pPr>
      <w:r>
        <w:rPr>
          <w:rFonts w:ascii="Arial" w:hAnsi="Arial" w:eastAsia="黑体" w:cs="Arial"/>
          <w:b/>
          <w:sz w:val="32"/>
        </w:rPr>
        <w:t>投标函</w:t>
      </w:r>
    </w:p>
    <w:p w14:paraId="5D213E50">
      <w:pPr>
        <w:pStyle w:val="207"/>
        <w:spacing w:after="100" w:afterAutospacing="1" w:line="360" w:lineRule="auto"/>
        <w:rPr>
          <w:rFonts w:ascii="Arial" w:hAnsi="Arial" w:eastAsia="宋体" w:cs="Arial"/>
          <w:sz w:val="24"/>
        </w:rPr>
      </w:pPr>
      <w:r>
        <w:rPr>
          <w:rFonts w:hint="eastAsia" w:ascii="Arial" w:hAnsi="Arial" w:eastAsia="宋体" w:cs="Arial"/>
          <w:sz w:val="24"/>
          <w:lang w:eastAsia="zh-CN"/>
        </w:rPr>
        <w:t>中邮建技术有限公司</w:t>
      </w:r>
      <w:r>
        <w:rPr>
          <w:rFonts w:ascii="Arial" w:hAnsi="Arial" w:eastAsia="宋体" w:cs="Arial"/>
          <w:sz w:val="24"/>
        </w:rPr>
        <w:t>：</w:t>
      </w:r>
    </w:p>
    <w:p w14:paraId="55382CD7">
      <w:pPr>
        <w:spacing w:line="360" w:lineRule="auto"/>
        <w:ind w:firstLine="480"/>
        <w:rPr>
          <w:rFonts w:ascii="宋体" w:hAnsi="宋体" w:cs="Arial"/>
          <w:sz w:val="24"/>
        </w:rPr>
      </w:pPr>
      <w:r>
        <w:rPr>
          <w:rFonts w:ascii="宋体" w:hAnsi="宋体" w:cs="Arial"/>
          <w:sz w:val="24"/>
        </w:rPr>
        <w:t>根据贵方为</w:t>
      </w:r>
      <w:r>
        <w:rPr>
          <w:rFonts w:hint="eastAsia" w:ascii="宋体" w:hAnsi="宋体" w:cs="Arial"/>
          <w:sz w:val="24"/>
          <w:u w:val="single"/>
          <w:lang w:eastAsia="zh-CN"/>
        </w:rPr>
        <w:t>（</w:t>
      </w:r>
      <w:r>
        <w:rPr>
          <w:rFonts w:hint="eastAsia" w:ascii="宋体" w:hAnsi="宋体" w:cs="Arial"/>
          <w:sz w:val="24"/>
          <w:u w:val="single"/>
        </w:rPr>
        <w:t>项目</w:t>
      </w:r>
      <w:r>
        <w:rPr>
          <w:rFonts w:hint="eastAsia" w:ascii="宋体" w:hAnsi="宋体" w:cs="Arial"/>
          <w:sz w:val="24"/>
          <w:u w:val="single"/>
          <w:lang w:eastAsia="zh-CN"/>
        </w:rPr>
        <w:t>名称：）</w:t>
      </w:r>
      <w:r>
        <w:rPr>
          <w:rFonts w:ascii="宋体" w:hAnsi="宋体" w:cs="Arial"/>
          <w:sz w:val="24"/>
        </w:rPr>
        <w:t>招标采购服务的投标邀请</w:t>
      </w:r>
      <w:r>
        <w:rPr>
          <w:rFonts w:ascii="宋体" w:hAnsi="宋体" w:cs="Arial"/>
          <w:sz w:val="24"/>
          <w:u w:val="single"/>
        </w:rPr>
        <w:t>（</w:t>
      </w:r>
      <w:r>
        <w:rPr>
          <w:rFonts w:hint="eastAsia" w:ascii="宋体" w:hAnsi="宋体" w:cs="Arial"/>
          <w:sz w:val="24"/>
          <w:u w:val="single"/>
        </w:rPr>
        <w:t>项目</w:t>
      </w:r>
      <w:r>
        <w:rPr>
          <w:rFonts w:ascii="宋体" w:hAnsi="宋体" w:cs="Arial"/>
          <w:sz w:val="24"/>
          <w:u w:val="single"/>
        </w:rPr>
        <w:t>编号：）</w:t>
      </w:r>
      <w:r>
        <w:rPr>
          <w:rFonts w:ascii="宋体" w:hAnsi="宋体" w:cs="Arial"/>
          <w:sz w:val="24"/>
        </w:rPr>
        <w:t>，签字代表</w:t>
      </w:r>
      <w:r>
        <w:rPr>
          <w:rFonts w:ascii="宋体" w:hAnsi="宋体" w:cs="Arial"/>
          <w:sz w:val="24"/>
          <w:u w:val="single"/>
        </w:rPr>
        <w:t>（姓名、职务）</w:t>
      </w:r>
      <w:r>
        <w:rPr>
          <w:rFonts w:ascii="宋体" w:hAnsi="宋体" w:cs="Arial"/>
          <w:sz w:val="24"/>
        </w:rPr>
        <w:t>经正式授权并代表投标人</w:t>
      </w:r>
      <w:r>
        <w:rPr>
          <w:rFonts w:ascii="宋体" w:hAnsi="宋体" w:cs="Arial"/>
          <w:sz w:val="24"/>
          <w:u w:val="single"/>
        </w:rPr>
        <w:t>（投标人名称、地址）</w:t>
      </w:r>
      <w:r>
        <w:rPr>
          <w:rFonts w:ascii="宋体" w:hAnsi="宋体" w:cs="Arial"/>
          <w:sz w:val="24"/>
        </w:rPr>
        <w:t>提交投标文件（包括招标文件要求提供的全部资料）；</w:t>
      </w:r>
    </w:p>
    <w:p w14:paraId="65CDD662">
      <w:pPr>
        <w:spacing w:line="360" w:lineRule="auto"/>
        <w:ind w:firstLine="480"/>
        <w:rPr>
          <w:rFonts w:ascii="宋体" w:hAnsi="宋体" w:cs="Arial"/>
          <w:sz w:val="24"/>
        </w:rPr>
      </w:pPr>
      <w:r>
        <w:rPr>
          <w:rFonts w:ascii="宋体" w:hAnsi="宋体" w:cs="Arial"/>
          <w:sz w:val="24"/>
        </w:rPr>
        <w:t>据此函，签字代表宣布同意如下：</w:t>
      </w:r>
    </w:p>
    <w:p w14:paraId="6D0528E1">
      <w:pPr>
        <w:spacing w:line="360" w:lineRule="auto"/>
        <w:ind w:firstLine="360"/>
        <w:rPr>
          <w:rFonts w:ascii="宋体" w:hAnsi="宋体" w:cs="Arial"/>
          <w:sz w:val="24"/>
        </w:rPr>
      </w:pPr>
      <w:r>
        <w:rPr>
          <w:rFonts w:ascii="宋体" w:hAnsi="宋体" w:cs="Arial"/>
          <w:sz w:val="24"/>
        </w:rPr>
        <w:t>1．所附投标价格表中规定的应提交和交付的</w:t>
      </w:r>
      <w:r>
        <w:rPr>
          <w:rFonts w:hint="eastAsia" w:ascii="宋体" w:hAnsi="宋体" w:cs="Arial"/>
          <w:sz w:val="24"/>
        </w:rPr>
        <w:t>服务</w:t>
      </w:r>
      <w:r>
        <w:rPr>
          <w:rFonts w:ascii="宋体" w:hAnsi="宋体" w:cs="Arial"/>
          <w:sz w:val="24"/>
        </w:rPr>
        <w:t>投标总价为（</w:t>
      </w:r>
      <w:r>
        <w:rPr>
          <w:rFonts w:ascii="宋体" w:hAnsi="宋体" w:cs="Arial"/>
          <w:sz w:val="24"/>
          <w:u w:val="single"/>
        </w:rPr>
        <w:t>注明币种，并用文字和数字表示的投标总价</w:t>
      </w:r>
      <w:r>
        <w:rPr>
          <w:rFonts w:ascii="宋体" w:hAnsi="宋体" w:cs="Arial"/>
          <w:sz w:val="24"/>
        </w:rPr>
        <w:t>）。</w:t>
      </w:r>
    </w:p>
    <w:p w14:paraId="02776C39">
      <w:pPr>
        <w:spacing w:line="360" w:lineRule="auto"/>
        <w:ind w:firstLine="360"/>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p>
    <w:p w14:paraId="22E9C9E9">
      <w:pPr>
        <w:spacing w:line="360" w:lineRule="auto"/>
        <w:ind w:firstLine="360"/>
        <w:rPr>
          <w:rFonts w:ascii="宋体" w:hAnsi="宋体" w:cs="Arial"/>
          <w:sz w:val="24"/>
        </w:rPr>
      </w:pPr>
      <w:r>
        <w:rPr>
          <w:rFonts w:ascii="宋体" w:hAnsi="宋体" w:cs="Arial"/>
          <w:sz w:val="24"/>
        </w:rPr>
        <w:t>3．本投标文件有效期为自开标日起</w:t>
      </w:r>
      <w:r>
        <w:rPr>
          <w:rFonts w:ascii="宋体" w:hAnsi="宋体" w:cs="Arial"/>
          <w:sz w:val="24"/>
          <w:u w:val="single"/>
        </w:rPr>
        <w:t xml:space="preserve"> </w:t>
      </w:r>
      <w:r>
        <w:rPr>
          <w:rFonts w:hint="eastAsia" w:ascii="宋体" w:hAnsi="宋体" w:cs="Arial"/>
          <w:sz w:val="24"/>
          <w:u w:val="single"/>
        </w:rPr>
        <w:t>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p>
    <w:p w14:paraId="234B5846">
      <w:pPr>
        <w:spacing w:line="360" w:lineRule="auto"/>
        <w:ind w:firstLine="360"/>
        <w:rPr>
          <w:rFonts w:ascii="宋体" w:hAnsi="宋体" w:cs="Arial"/>
          <w:sz w:val="24"/>
        </w:rPr>
      </w:pPr>
      <w:r>
        <w:rPr>
          <w:rFonts w:ascii="宋体" w:hAnsi="宋体" w:cs="Arial"/>
          <w:sz w:val="24"/>
        </w:rPr>
        <w:t>4．如果在规定的开标时间后，我方在投标有效期内</w:t>
      </w:r>
      <w:r>
        <w:rPr>
          <w:rFonts w:hint="eastAsia" w:ascii="宋体" w:hAnsi="宋体" w:cs="Arial"/>
          <w:sz w:val="24"/>
        </w:rPr>
        <w:t>不得</w:t>
      </w:r>
      <w:r>
        <w:rPr>
          <w:rFonts w:ascii="宋体" w:hAnsi="宋体" w:cs="Arial"/>
          <w:sz w:val="24"/>
        </w:rPr>
        <w:t>撤回投标。</w:t>
      </w:r>
    </w:p>
    <w:p w14:paraId="6F380BC6">
      <w:pPr>
        <w:spacing w:line="360" w:lineRule="auto"/>
        <w:ind w:firstLine="360"/>
        <w:rPr>
          <w:rFonts w:ascii="宋体" w:hAnsi="宋体" w:cs="Arial"/>
          <w:sz w:val="24"/>
        </w:rPr>
      </w:pPr>
      <w:r>
        <w:rPr>
          <w:rFonts w:ascii="宋体" w:hAnsi="宋体" w:cs="Arial"/>
          <w:sz w:val="24"/>
        </w:rPr>
        <w:t>5．我方愿意向采购人提供任何与本次招标相关的其他资料。</w:t>
      </w:r>
    </w:p>
    <w:p w14:paraId="1B179DE0">
      <w:pPr>
        <w:spacing w:line="360" w:lineRule="auto"/>
        <w:ind w:firstLine="360"/>
        <w:rPr>
          <w:rFonts w:ascii="宋体" w:hAnsi="宋体" w:cs="Arial"/>
          <w:sz w:val="24"/>
        </w:rPr>
      </w:pPr>
      <w:r>
        <w:rPr>
          <w:rFonts w:ascii="宋体" w:hAnsi="宋体" w:cs="Arial"/>
          <w:sz w:val="24"/>
        </w:rPr>
        <w:t>6．我方将严格履行本投标文件中的全部承诺和责任，并遵守招标文件中对投标人的所有规定。</w:t>
      </w:r>
    </w:p>
    <w:p w14:paraId="35F6A656">
      <w:pPr>
        <w:spacing w:line="360" w:lineRule="auto"/>
        <w:ind w:firstLine="360"/>
        <w:rPr>
          <w:rFonts w:ascii="宋体" w:hAnsi="宋体" w:cs="Arial"/>
          <w:sz w:val="24"/>
        </w:rPr>
      </w:pPr>
      <w:r>
        <w:rPr>
          <w:rFonts w:ascii="宋体" w:hAnsi="宋体" w:cs="Arial"/>
          <w:sz w:val="24"/>
        </w:rPr>
        <w:t>7．如果我方中标，我们</w:t>
      </w:r>
      <w:r>
        <w:rPr>
          <w:rFonts w:hint="eastAsia" w:ascii="宋体" w:hAnsi="宋体" w:cs="Arial"/>
          <w:sz w:val="24"/>
        </w:rPr>
        <w:t>承诺</w:t>
      </w:r>
      <w:r>
        <w:rPr>
          <w:rFonts w:ascii="宋体" w:hAnsi="宋体" w:cs="Arial"/>
          <w:sz w:val="24"/>
        </w:rPr>
        <w:t>将按招标文件的规定履行合同责任和义务。</w:t>
      </w:r>
    </w:p>
    <w:p w14:paraId="0F7FDF07">
      <w:pPr>
        <w:spacing w:line="360" w:lineRule="auto"/>
        <w:ind w:firstLine="360"/>
        <w:rPr>
          <w:rFonts w:ascii="宋体" w:hAnsi="宋体" w:cs="Arial"/>
          <w:sz w:val="24"/>
        </w:rPr>
      </w:pPr>
      <w:r>
        <w:rPr>
          <w:rFonts w:ascii="宋体" w:hAnsi="宋体" w:cs="Arial"/>
          <w:sz w:val="24"/>
        </w:rPr>
        <w:t>8．如果我</w:t>
      </w:r>
      <w:r>
        <w:rPr>
          <w:rFonts w:hint="eastAsia" w:ascii="宋体" w:hAnsi="宋体" w:cs="Arial"/>
          <w:sz w:val="24"/>
        </w:rPr>
        <w:t>方</w:t>
      </w:r>
      <w:r>
        <w:rPr>
          <w:rFonts w:ascii="宋体" w:hAnsi="宋体" w:cs="Arial"/>
          <w:sz w:val="24"/>
        </w:rPr>
        <w:t>中标，我们愿意在</w:t>
      </w:r>
      <w:r>
        <w:rPr>
          <w:rFonts w:hint="eastAsia" w:ascii="宋体" w:hAnsi="宋体" w:cs="Arial"/>
          <w:sz w:val="24"/>
        </w:rPr>
        <w:t>中标通知书发出后</w:t>
      </w:r>
      <w:r>
        <w:rPr>
          <w:rFonts w:ascii="宋体" w:hAnsi="宋体" w:cs="Arial"/>
          <w:sz w:val="24"/>
        </w:rPr>
        <w:t>签订合同</w:t>
      </w:r>
      <w:r>
        <w:rPr>
          <w:rFonts w:hint="eastAsia" w:ascii="宋体" w:hAnsi="宋体" w:cs="Arial"/>
          <w:sz w:val="24"/>
        </w:rPr>
        <w:t>前，按招标文件的规定</w:t>
      </w:r>
      <w:r>
        <w:rPr>
          <w:rFonts w:ascii="宋体" w:hAnsi="宋体" w:cs="Arial"/>
          <w:sz w:val="24"/>
        </w:rPr>
        <w:t>支付</w:t>
      </w:r>
      <w:r>
        <w:rPr>
          <w:rFonts w:hint="eastAsia" w:ascii="宋体" w:hAnsi="宋体" w:cs="Arial"/>
          <w:sz w:val="24"/>
        </w:rPr>
        <w:t>中标</w:t>
      </w:r>
      <w:r>
        <w:rPr>
          <w:rFonts w:ascii="宋体" w:hAnsi="宋体" w:cs="Arial"/>
          <w:sz w:val="24"/>
        </w:rPr>
        <w:t>服务费</w:t>
      </w:r>
      <w:r>
        <w:rPr>
          <w:rFonts w:hint="eastAsia" w:ascii="宋体" w:hAnsi="宋体" w:cs="Arial"/>
          <w:sz w:val="24"/>
        </w:rPr>
        <w:t>以及其他相关费用</w:t>
      </w:r>
      <w:r>
        <w:rPr>
          <w:rFonts w:ascii="宋体" w:hAnsi="宋体" w:cs="Arial"/>
          <w:sz w:val="24"/>
        </w:rPr>
        <w:t>。</w:t>
      </w:r>
    </w:p>
    <w:p w14:paraId="587B7F16">
      <w:pPr>
        <w:spacing w:line="360" w:lineRule="auto"/>
        <w:ind w:firstLine="360"/>
        <w:rPr>
          <w:rFonts w:ascii="宋体" w:hAnsi="宋体" w:cs="Arial"/>
          <w:sz w:val="24"/>
        </w:rPr>
      </w:pPr>
      <w:r>
        <w:rPr>
          <w:rFonts w:ascii="宋体" w:hAnsi="宋体" w:cs="Arial"/>
          <w:sz w:val="24"/>
        </w:rPr>
        <w:t>9．综合说明：</w:t>
      </w:r>
    </w:p>
    <w:p w14:paraId="49CE0311">
      <w:pPr>
        <w:spacing w:line="360" w:lineRule="auto"/>
        <w:ind w:firstLine="360"/>
        <w:rPr>
          <w:rFonts w:ascii="宋体" w:hAnsi="宋体" w:cs="Arial"/>
          <w:sz w:val="24"/>
        </w:rPr>
      </w:pPr>
      <w:r>
        <w:rPr>
          <w:rFonts w:ascii="宋体" w:hAnsi="宋体" w:cs="Arial"/>
          <w:sz w:val="24"/>
        </w:rPr>
        <w:t>（1）伴随服务及配合措施；</w:t>
      </w:r>
    </w:p>
    <w:p w14:paraId="1175120D">
      <w:pPr>
        <w:spacing w:line="360" w:lineRule="auto"/>
        <w:ind w:firstLine="360"/>
        <w:rPr>
          <w:rFonts w:ascii="宋体" w:hAnsi="宋体" w:cs="Arial"/>
          <w:sz w:val="24"/>
        </w:rPr>
      </w:pPr>
      <w:r>
        <w:rPr>
          <w:rFonts w:ascii="宋体" w:hAnsi="宋体" w:cs="Arial"/>
          <w:sz w:val="24"/>
        </w:rPr>
        <w:t>（2）要求甲方提供的配合；</w:t>
      </w:r>
    </w:p>
    <w:p w14:paraId="4AB725B3">
      <w:pPr>
        <w:spacing w:line="360" w:lineRule="auto"/>
        <w:ind w:firstLine="360"/>
        <w:rPr>
          <w:rFonts w:ascii="宋体" w:hAnsi="宋体" w:cs="Arial"/>
          <w:sz w:val="24"/>
        </w:rPr>
      </w:pPr>
      <w:r>
        <w:rPr>
          <w:rFonts w:ascii="宋体" w:hAnsi="宋体" w:cs="Arial"/>
          <w:sz w:val="24"/>
        </w:rPr>
        <w:t>（3）对招标文件有不同意见的偏离说明；</w:t>
      </w:r>
    </w:p>
    <w:p w14:paraId="7B1ED2DD">
      <w:pPr>
        <w:spacing w:line="360" w:lineRule="auto"/>
        <w:ind w:firstLine="360"/>
        <w:rPr>
          <w:rFonts w:ascii="宋体" w:hAnsi="宋体" w:cs="Arial"/>
          <w:sz w:val="24"/>
        </w:rPr>
      </w:pPr>
      <w:r>
        <w:rPr>
          <w:rFonts w:ascii="宋体" w:hAnsi="宋体" w:cs="Arial"/>
          <w:sz w:val="24"/>
        </w:rPr>
        <w:t>（4）其它说明。</w:t>
      </w:r>
    </w:p>
    <w:p w14:paraId="4C3570CE">
      <w:pPr>
        <w:spacing w:line="360" w:lineRule="auto"/>
        <w:ind w:firstLine="360"/>
        <w:rPr>
          <w:rFonts w:ascii="宋体" w:hAnsi="宋体" w:cs="Arial"/>
          <w:sz w:val="24"/>
        </w:rPr>
      </w:pPr>
      <w:r>
        <w:rPr>
          <w:rFonts w:ascii="宋体" w:hAnsi="宋体" w:cs="Arial"/>
          <w:sz w:val="24"/>
        </w:rPr>
        <w:t>10．与本次投标有关的一切往来信函请寄：</w:t>
      </w:r>
    </w:p>
    <w:p w14:paraId="3F6BF030">
      <w:pPr>
        <w:pStyle w:val="193"/>
        <w:spacing w:line="360" w:lineRule="auto"/>
        <w:rPr>
          <w:rFonts w:hAnsi="宋体" w:cs="Arial"/>
          <w:sz w:val="24"/>
          <w:szCs w:val="24"/>
        </w:rPr>
      </w:pPr>
    </w:p>
    <w:p w14:paraId="5CE61007">
      <w:pPr>
        <w:spacing w:line="360" w:lineRule="auto"/>
        <w:ind w:left="420"/>
        <w:rPr>
          <w:rFonts w:ascii="宋体" w:hAnsi="宋体" w:cs="Arial"/>
          <w:sz w:val="24"/>
          <w:u w:val="single"/>
        </w:rPr>
      </w:pPr>
      <w:r>
        <w:rPr>
          <w:rFonts w:ascii="宋体" w:hAnsi="宋体" w:cs="Arial"/>
          <w:sz w:val="24"/>
        </w:rPr>
        <w:t>地址：</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rPr>
        <w:tab/>
      </w:r>
      <w:r>
        <w:rPr>
          <w:rFonts w:ascii="宋体" w:hAnsi="宋体" w:cs="Arial"/>
          <w:sz w:val="24"/>
        </w:rPr>
        <w:t>邮编：</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p>
    <w:p w14:paraId="04F5CE2F">
      <w:pPr>
        <w:spacing w:line="360" w:lineRule="auto"/>
        <w:ind w:left="420"/>
        <w:rPr>
          <w:rFonts w:ascii="宋体" w:hAnsi="宋体" w:cs="Arial"/>
          <w:sz w:val="24"/>
        </w:rPr>
      </w:pPr>
      <w:r>
        <w:rPr>
          <w:rFonts w:ascii="宋体" w:hAnsi="宋体" w:cs="Arial"/>
          <w:sz w:val="24"/>
        </w:rPr>
        <w:t>联系人：</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rPr>
        <w:tab/>
      </w:r>
      <w:r>
        <w:rPr>
          <w:rFonts w:ascii="宋体" w:hAnsi="宋体" w:cs="Arial"/>
          <w:sz w:val="24"/>
        </w:rPr>
        <w:t>电话：</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p>
    <w:p w14:paraId="00295600">
      <w:pPr>
        <w:pStyle w:val="207"/>
        <w:spacing w:after="120" w:line="360" w:lineRule="auto"/>
        <w:ind w:left="3400" w:firstLine="425"/>
        <w:rPr>
          <w:rFonts w:ascii="Arial" w:hAnsi="Arial" w:eastAsia="宋体" w:cs="Arial"/>
          <w:sz w:val="24"/>
        </w:rPr>
      </w:pPr>
    </w:p>
    <w:p w14:paraId="4984994D">
      <w:pPr>
        <w:pStyle w:val="207"/>
        <w:spacing w:after="120" w:line="360" w:lineRule="auto"/>
        <w:ind w:left="3400" w:firstLine="425"/>
        <w:rPr>
          <w:rFonts w:ascii="Arial" w:hAnsi="Arial" w:eastAsia="宋体" w:cs="Arial"/>
          <w:sz w:val="24"/>
        </w:rPr>
      </w:pPr>
    </w:p>
    <w:p w14:paraId="60B63DB0">
      <w:pPr>
        <w:pStyle w:val="207"/>
        <w:spacing w:after="120" w:line="360" w:lineRule="auto"/>
        <w:ind w:left="3400" w:firstLine="425"/>
        <w:rPr>
          <w:rFonts w:ascii="Arial" w:hAnsi="Arial" w:eastAsia="宋体" w:cs="Arial"/>
          <w:sz w:val="24"/>
        </w:rPr>
      </w:pPr>
    </w:p>
    <w:p w14:paraId="79867EAF">
      <w:pPr>
        <w:pStyle w:val="207"/>
        <w:spacing w:after="120" w:line="360" w:lineRule="auto"/>
        <w:ind w:left="3400" w:firstLine="425"/>
        <w:rPr>
          <w:rFonts w:ascii="Arial" w:hAnsi="Arial" w:eastAsia="宋体" w:cs="Arial"/>
          <w:sz w:val="24"/>
        </w:rPr>
      </w:pPr>
    </w:p>
    <w:p w14:paraId="55AA6A0A">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46112871">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685A29D8">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313B3BD7">
      <w:pPr>
        <w:pStyle w:val="207"/>
        <w:spacing w:line="400" w:lineRule="exact"/>
        <w:ind w:firstLine="4620"/>
        <w:rPr>
          <w:rFonts w:ascii="Arial" w:hAnsi="Arial" w:eastAsia="宋体" w:cs="Arial"/>
          <w:sz w:val="24"/>
        </w:rPr>
      </w:pPr>
    </w:p>
    <w:p w14:paraId="6D2DF9C2">
      <w:pPr>
        <w:pStyle w:val="207"/>
        <w:spacing w:line="400" w:lineRule="exact"/>
        <w:ind w:firstLine="4620"/>
        <w:rPr>
          <w:rFonts w:ascii="Arial" w:hAnsi="Arial" w:eastAsia="宋体" w:cs="Arial"/>
          <w:sz w:val="24"/>
        </w:rPr>
      </w:pPr>
    </w:p>
    <w:p w14:paraId="7BAC98E3">
      <w:pPr>
        <w:pStyle w:val="207"/>
        <w:spacing w:line="400" w:lineRule="exact"/>
        <w:ind w:firstLine="4620"/>
        <w:rPr>
          <w:rFonts w:ascii="Arial" w:hAnsi="Arial" w:eastAsia="宋体" w:cs="Arial"/>
          <w:sz w:val="24"/>
        </w:rPr>
      </w:pPr>
    </w:p>
    <w:p w14:paraId="0222DA7B">
      <w:pPr>
        <w:pStyle w:val="207"/>
        <w:spacing w:line="400" w:lineRule="exact"/>
        <w:ind w:firstLine="4620"/>
        <w:rPr>
          <w:rFonts w:ascii="Arial" w:hAnsi="Arial" w:eastAsia="宋体" w:cs="Arial"/>
          <w:sz w:val="24"/>
        </w:rPr>
      </w:pPr>
    </w:p>
    <w:p w14:paraId="3DDDA91A">
      <w:pPr>
        <w:pStyle w:val="207"/>
        <w:spacing w:line="400" w:lineRule="exact"/>
        <w:ind w:firstLine="4620"/>
        <w:rPr>
          <w:rFonts w:ascii="Arial" w:hAnsi="Arial" w:eastAsia="宋体" w:cs="Arial"/>
          <w:sz w:val="24"/>
        </w:rPr>
      </w:pPr>
    </w:p>
    <w:p w14:paraId="74592757">
      <w:pPr>
        <w:pStyle w:val="207"/>
        <w:spacing w:line="400" w:lineRule="exact"/>
        <w:ind w:firstLine="4620"/>
        <w:rPr>
          <w:rFonts w:ascii="Arial" w:hAnsi="Arial" w:eastAsia="宋体" w:cs="Arial"/>
          <w:sz w:val="24"/>
        </w:rPr>
      </w:pPr>
    </w:p>
    <w:p w14:paraId="74CE6CB6">
      <w:pPr>
        <w:pStyle w:val="207"/>
        <w:spacing w:line="400" w:lineRule="exact"/>
        <w:ind w:firstLine="4620"/>
        <w:rPr>
          <w:rFonts w:ascii="Arial" w:hAnsi="Arial" w:eastAsia="宋体" w:cs="Arial"/>
          <w:sz w:val="24"/>
        </w:rPr>
      </w:pPr>
    </w:p>
    <w:p w14:paraId="5F406841">
      <w:pPr>
        <w:pStyle w:val="207"/>
        <w:spacing w:line="400" w:lineRule="exact"/>
        <w:ind w:firstLine="4620"/>
        <w:rPr>
          <w:rFonts w:ascii="Arial" w:hAnsi="Arial" w:eastAsia="宋体" w:cs="Arial"/>
          <w:sz w:val="24"/>
        </w:rPr>
      </w:pPr>
    </w:p>
    <w:p w14:paraId="4BA23ABE">
      <w:pPr>
        <w:pStyle w:val="207"/>
        <w:spacing w:line="400" w:lineRule="exact"/>
        <w:ind w:firstLine="4620"/>
        <w:rPr>
          <w:rFonts w:ascii="Arial" w:hAnsi="Arial" w:eastAsia="宋体" w:cs="Arial"/>
          <w:sz w:val="24"/>
        </w:rPr>
      </w:pPr>
    </w:p>
    <w:p w14:paraId="425E3688">
      <w:pPr>
        <w:pStyle w:val="207"/>
        <w:spacing w:line="400" w:lineRule="exact"/>
        <w:ind w:firstLine="4620"/>
        <w:rPr>
          <w:rFonts w:ascii="Arial" w:hAnsi="Arial" w:eastAsia="宋体" w:cs="Arial"/>
          <w:sz w:val="24"/>
        </w:rPr>
      </w:pPr>
    </w:p>
    <w:p w14:paraId="3A28FAA7">
      <w:pPr>
        <w:pStyle w:val="207"/>
        <w:spacing w:line="400" w:lineRule="exact"/>
        <w:ind w:firstLine="4620"/>
        <w:rPr>
          <w:rFonts w:ascii="Arial" w:hAnsi="Arial" w:eastAsia="宋体" w:cs="Arial"/>
          <w:sz w:val="24"/>
        </w:rPr>
      </w:pPr>
    </w:p>
    <w:p w14:paraId="642EA590">
      <w:pPr>
        <w:pStyle w:val="207"/>
        <w:spacing w:line="400" w:lineRule="exact"/>
        <w:ind w:firstLine="4620"/>
        <w:rPr>
          <w:rFonts w:ascii="Arial" w:hAnsi="Arial" w:eastAsia="宋体" w:cs="Arial"/>
          <w:sz w:val="24"/>
        </w:rPr>
      </w:pPr>
    </w:p>
    <w:p w14:paraId="0D645243">
      <w:pPr>
        <w:pStyle w:val="186"/>
        <w:spacing w:before="120" w:after="120"/>
        <w:rPr>
          <w:rFonts w:ascii="Arial" w:hAnsi="Arial" w:cs="Arial"/>
          <w:sz w:val="24"/>
        </w:rPr>
      </w:pPr>
      <w:r>
        <w:rPr>
          <w:rFonts w:ascii="Arial" w:hAnsi="Arial" w:cs="Arial"/>
          <w:b w:val="0"/>
          <w:szCs w:val="21"/>
        </w:rPr>
        <w:br w:type="page" w:clear="all"/>
      </w:r>
      <w:r>
        <w:rPr>
          <w:rFonts w:hint="eastAsia" w:ascii="Arial" w:hAnsi="Arial" w:cs="Arial"/>
          <w:sz w:val="24"/>
          <w:lang w:val="en-US" w:eastAsia="zh-CN"/>
        </w:rPr>
        <w:t>3</w:t>
      </w:r>
      <w:r>
        <w:rPr>
          <w:rFonts w:hint="eastAsia" w:ascii="Arial" w:hAnsi="Arial" w:cs="Arial"/>
          <w:sz w:val="24"/>
        </w:rPr>
        <w:t>、</w:t>
      </w:r>
      <w:bookmarkStart w:id="116" w:name="_Toc237917792"/>
      <w:r>
        <w:rPr>
          <w:rFonts w:ascii="Arial" w:hAnsi="Arial" w:cs="Arial"/>
          <w:sz w:val="24"/>
        </w:rPr>
        <w:t>开标一览表</w:t>
      </w:r>
      <w:bookmarkEnd w:id="116"/>
    </w:p>
    <w:p w14:paraId="1F07CFA7">
      <w:pPr>
        <w:pStyle w:val="207"/>
        <w:spacing w:before="100" w:beforeAutospacing="1" w:after="100" w:afterAutospacing="1" w:line="360" w:lineRule="auto"/>
        <w:jc w:val="center"/>
        <w:rPr>
          <w:rFonts w:ascii="Arial" w:hAnsi="Arial" w:eastAsia="黑体" w:cs="Arial"/>
          <w:b/>
          <w:sz w:val="32"/>
        </w:rPr>
      </w:pPr>
      <w:bookmarkStart w:id="117" w:name="_Toc503948082"/>
      <w:bookmarkStart w:id="118" w:name="_Toc503948589"/>
      <w:bookmarkStart w:id="119" w:name="_Toc512078309"/>
      <w:r>
        <w:rPr>
          <w:rFonts w:ascii="Arial" w:hAnsi="Arial" w:eastAsia="黑体" w:cs="Arial"/>
          <w:b/>
          <w:sz w:val="32"/>
        </w:rPr>
        <w:t>开标一览表</w:t>
      </w:r>
      <w:bookmarkEnd w:id="117"/>
      <w:bookmarkEnd w:id="118"/>
      <w:bookmarkEnd w:id="119"/>
    </w:p>
    <w:p w14:paraId="100284CD">
      <w:pPr>
        <w:pStyle w:val="207"/>
        <w:spacing w:after="120" w:line="360" w:lineRule="auto"/>
        <w:rPr>
          <w:rFonts w:ascii="Arial" w:hAnsi="Arial" w:eastAsia="宋体" w:cs="Arial"/>
          <w:sz w:val="21"/>
          <w:szCs w:val="21"/>
          <w:u w:val="single"/>
        </w:rPr>
      </w:pPr>
      <w:r>
        <w:rPr>
          <w:rFonts w:hAnsi="宋体" w:eastAsia="宋体" w:cs="Arial"/>
          <w:sz w:val="24"/>
        </w:rPr>
        <w:t>项目编号：</w:t>
      </w:r>
    </w:p>
    <w:tbl>
      <w:tblPr>
        <w:tblStyle w:val="31"/>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9"/>
        <w:gridCol w:w="5341"/>
      </w:tblGrid>
      <w:tr w14:paraId="4D70E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3119" w:type="dxa"/>
            <w:noWrap w:val="0"/>
            <w:vAlign w:val="center"/>
          </w:tcPr>
          <w:p w14:paraId="5BFEDFE5">
            <w:pPr>
              <w:jc w:val="center"/>
              <w:rPr>
                <w:rFonts w:hint="eastAsia" w:ascii="宋体" w:hAnsi="宋体"/>
                <w:sz w:val="24"/>
                <w:szCs w:val="24"/>
              </w:rPr>
            </w:pPr>
            <w:r>
              <w:rPr>
                <w:rFonts w:hint="eastAsia" w:ascii="宋体" w:hAnsi="宋体"/>
                <w:sz w:val="24"/>
                <w:szCs w:val="24"/>
              </w:rPr>
              <w:t>项目名称</w:t>
            </w:r>
          </w:p>
        </w:tc>
        <w:tc>
          <w:tcPr>
            <w:tcW w:w="5341" w:type="dxa"/>
            <w:noWrap w:val="0"/>
            <w:vAlign w:val="center"/>
          </w:tcPr>
          <w:p w14:paraId="064A102D">
            <w:pPr>
              <w:jc w:val="center"/>
              <w:rPr>
                <w:rFonts w:hint="eastAsia" w:ascii="宋体" w:hAnsi="宋体"/>
                <w:sz w:val="24"/>
                <w:szCs w:val="24"/>
              </w:rPr>
            </w:pPr>
          </w:p>
        </w:tc>
      </w:tr>
      <w:tr w14:paraId="5A00F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3119" w:type="dxa"/>
            <w:noWrap w:val="0"/>
            <w:vAlign w:val="center"/>
          </w:tcPr>
          <w:p w14:paraId="383202C0">
            <w:pPr>
              <w:spacing w:line="720" w:lineRule="exact"/>
              <w:jc w:val="center"/>
              <w:rPr>
                <w:rFonts w:hint="eastAsia" w:ascii="宋体" w:hAnsi="宋体"/>
                <w:sz w:val="24"/>
                <w:szCs w:val="24"/>
              </w:rPr>
            </w:pPr>
            <w:r>
              <w:rPr>
                <w:rFonts w:hint="eastAsia" w:ascii="宋体" w:hAnsi="宋体"/>
                <w:sz w:val="24"/>
                <w:szCs w:val="24"/>
              </w:rPr>
              <w:t>投标报价</w:t>
            </w:r>
          </w:p>
        </w:tc>
        <w:tc>
          <w:tcPr>
            <w:tcW w:w="5341" w:type="dxa"/>
            <w:noWrap w:val="0"/>
            <w:vAlign w:val="center"/>
          </w:tcPr>
          <w:p w14:paraId="3C58170D">
            <w:pPr>
              <w:spacing w:line="720" w:lineRule="exact"/>
              <w:jc w:val="center"/>
              <w:rPr>
                <w:rFonts w:hint="eastAsia" w:ascii="宋体" w:hAnsi="宋体"/>
                <w:sz w:val="24"/>
                <w:szCs w:val="24"/>
                <w:u w:val="single"/>
              </w:rPr>
            </w:pPr>
            <w:r>
              <w:rPr>
                <w:rFonts w:hint="eastAsia" w:ascii="宋体" w:hAnsi="宋体"/>
                <w:sz w:val="24"/>
                <w:szCs w:val="24"/>
              </w:rPr>
              <w:t>大写：人民币</w:t>
            </w:r>
            <w:r>
              <w:rPr>
                <w:rFonts w:hint="eastAsia" w:ascii="宋体" w:hAnsi="宋体"/>
                <w:sz w:val="24"/>
                <w:szCs w:val="24"/>
                <w:u w:val="single"/>
              </w:rPr>
              <w:t xml:space="preserve">                   </w:t>
            </w:r>
            <w:r>
              <w:rPr>
                <w:rFonts w:hint="eastAsia" w:ascii="宋体" w:hAnsi="宋体"/>
                <w:sz w:val="24"/>
                <w:szCs w:val="24"/>
              </w:rPr>
              <w:t>元</w:t>
            </w:r>
          </w:p>
          <w:p w14:paraId="3D4C5C59">
            <w:pPr>
              <w:spacing w:line="720" w:lineRule="exact"/>
              <w:jc w:val="center"/>
              <w:rPr>
                <w:rFonts w:hint="eastAsia" w:ascii="宋体" w:hAnsi="宋体"/>
                <w:sz w:val="24"/>
                <w:szCs w:val="24"/>
              </w:rPr>
            </w:pPr>
            <w:r>
              <w:rPr>
                <w:rFonts w:hint="eastAsia" w:ascii="宋体" w:hAnsi="宋体"/>
                <w:sz w:val="24"/>
                <w:szCs w:val="24"/>
              </w:rPr>
              <w:t xml:space="preserve">小写：¥ </w:t>
            </w:r>
            <w:r>
              <w:rPr>
                <w:rFonts w:hint="eastAsia" w:ascii="宋体" w:hAnsi="宋体"/>
                <w:sz w:val="24"/>
                <w:szCs w:val="24"/>
                <w:u w:val="single"/>
              </w:rPr>
              <w:t xml:space="preserve">                       </w:t>
            </w:r>
            <w:r>
              <w:rPr>
                <w:rFonts w:hint="eastAsia" w:ascii="宋体" w:hAnsi="宋体"/>
                <w:sz w:val="24"/>
                <w:szCs w:val="24"/>
              </w:rPr>
              <w:t>元</w:t>
            </w:r>
          </w:p>
        </w:tc>
      </w:tr>
      <w:tr w14:paraId="0D5DA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40" w:hRule="atLeast"/>
        </w:trPr>
        <w:tc>
          <w:tcPr>
            <w:tcW w:w="3119" w:type="dxa"/>
            <w:noWrap w:val="0"/>
            <w:vAlign w:val="center"/>
          </w:tcPr>
          <w:p w14:paraId="2A8E7843">
            <w:pPr>
              <w:spacing w:line="720" w:lineRule="exact"/>
              <w:jc w:val="center"/>
              <w:rPr>
                <w:rFonts w:hint="eastAsia" w:ascii="宋体" w:hAnsi="宋体"/>
                <w:sz w:val="24"/>
                <w:szCs w:val="24"/>
              </w:rPr>
            </w:pPr>
            <w:r>
              <w:rPr>
                <w:rFonts w:hint="eastAsia" w:ascii="宋体" w:hAnsi="宋体"/>
                <w:sz w:val="24"/>
                <w:szCs w:val="24"/>
              </w:rPr>
              <w:t>服务期限</w:t>
            </w:r>
          </w:p>
        </w:tc>
        <w:tc>
          <w:tcPr>
            <w:tcW w:w="5341" w:type="dxa"/>
            <w:noWrap w:val="0"/>
            <w:vAlign w:val="center"/>
          </w:tcPr>
          <w:p w14:paraId="71248C32">
            <w:pPr>
              <w:spacing w:line="720" w:lineRule="exact"/>
              <w:jc w:val="center"/>
              <w:rPr>
                <w:rFonts w:hint="eastAsia" w:ascii="宋体" w:hAnsi="宋体"/>
                <w:sz w:val="24"/>
                <w:szCs w:val="24"/>
              </w:rPr>
            </w:pPr>
          </w:p>
        </w:tc>
      </w:tr>
      <w:tr w14:paraId="3E1DA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40" w:hRule="atLeast"/>
        </w:trPr>
        <w:tc>
          <w:tcPr>
            <w:tcW w:w="3119" w:type="dxa"/>
            <w:noWrap w:val="0"/>
            <w:vAlign w:val="center"/>
          </w:tcPr>
          <w:p w14:paraId="67A64F8A">
            <w:pPr>
              <w:jc w:val="center"/>
              <w:rPr>
                <w:rFonts w:hint="eastAsia" w:ascii="宋体" w:hAnsi="宋体"/>
                <w:sz w:val="24"/>
                <w:szCs w:val="24"/>
              </w:rPr>
            </w:pPr>
            <w:r>
              <w:rPr>
                <w:rFonts w:hint="eastAsia" w:ascii="宋体" w:hAnsi="宋体" w:cs="Arial"/>
                <w:sz w:val="24"/>
                <w:szCs w:val="24"/>
              </w:rPr>
              <w:t>是否为小微型企业、监狱企业或残疾人福利性单位提供的服务</w:t>
            </w:r>
          </w:p>
        </w:tc>
        <w:tc>
          <w:tcPr>
            <w:tcW w:w="5341" w:type="dxa"/>
            <w:noWrap w:val="0"/>
            <w:vAlign w:val="center"/>
          </w:tcPr>
          <w:p w14:paraId="0F8BA50E">
            <w:pPr>
              <w:spacing w:line="720" w:lineRule="exact"/>
              <w:jc w:val="center"/>
              <w:rPr>
                <w:rFonts w:hint="eastAsia" w:ascii="宋体" w:hAnsi="宋体"/>
                <w:sz w:val="24"/>
                <w:szCs w:val="24"/>
              </w:rPr>
            </w:pPr>
            <w:r>
              <w:rPr>
                <w:rFonts w:hint="eastAsia" w:ascii="宋体" w:hAnsi="宋体" w:cs="Arial"/>
                <w:sz w:val="24"/>
                <w:szCs w:val="24"/>
              </w:rPr>
              <w:t xml:space="preserve">是 </w:t>
            </w:r>
            <w:r>
              <w:rPr>
                <w:rFonts w:ascii="宋体" w:hAnsi="宋体" w:cs="Arial"/>
                <w:sz w:val="24"/>
                <w:szCs w:val="24"/>
              </w:rPr>
              <w:t xml:space="preserve">        </w:t>
            </w:r>
            <w:r>
              <w:rPr>
                <w:rFonts w:hint="eastAsia" w:ascii="宋体" w:hAnsi="宋体" w:cs="Arial"/>
                <w:sz w:val="24"/>
                <w:szCs w:val="24"/>
              </w:rPr>
              <w:t>否</w:t>
            </w:r>
          </w:p>
        </w:tc>
      </w:tr>
      <w:tr w14:paraId="2E2F9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3119" w:type="dxa"/>
            <w:noWrap w:val="0"/>
            <w:vAlign w:val="center"/>
          </w:tcPr>
          <w:p w14:paraId="2DD17AA0">
            <w:pPr>
              <w:ind w:firstLine="120"/>
              <w:jc w:val="center"/>
              <w:rPr>
                <w:rFonts w:hint="eastAsia" w:ascii="宋体" w:hAnsi="宋体"/>
                <w:sz w:val="24"/>
                <w:szCs w:val="24"/>
              </w:rPr>
            </w:pPr>
            <w:r>
              <w:rPr>
                <w:rFonts w:hint="eastAsia" w:ascii="宋体" w:hAnsi="宋体"/>
                <w:sz w:val="24"/>
                <w:szCs w:val="24"/>
              </w:rPr>
              <w:t>备注</w:t>
            </w:r>
          </w:p>
        </w:tc>
        <w:tc>
          <w:tcPr>
            <w:tcW w:w="5341" w:type="dxa"/>
            <w:noWrap w:val="0"/>
            <w:vAlign w:val="center"/>
          </w:tcPr>
          <w:p w14:paraId="3377AE61">
            <w:pPr>
              <w:rPr>
                <w:rFonts w:hint="eastAsia" w:ascii="宋体" w:hAnsi="宋体"/>
                <w:sz w:val="24"/>
                <w:szCs w:val="24"/>
              </w:rPr>
            </w:pPr>
          </w:p>
        </w:tc>
      </w:tr>
    </w:tbl>
    <w:p w14:paraId="6A2C4BC1">
      <w:pPr>
        <w:widowControl/>
        <w:shd w:val="clear" w:color="auto" w:fill="FFFFFF"/>
        <w:spacing w:line="360" w:lineRule="auto"/>
        <w:ind w:firstLine="480"/>
        <w:jc w:val="left"/>
        <w:rPr>
          <w:rFonts w:hint="eastAsia" w:ascii="宋体" w:hAnsi="宋体"/>
          <w:sz w:val="24"/>
          <w:szCs w:val="24"/>
        </w:rPr>
      </w:pPr>
    </w:p>
    <w:p w14:paraId="3B1DACF0">
      <w:pPr>
        <w:pStyle w:val="207"/>
        <w:spacing w:after="120" w:line="360" w:lineRule="auto"/>
        <w:ind w:left="3400" w:firstLine="425"/>
        <w:rPr>
          <w:rFonts w:ascii="Arial" w:hAnsi="Arial" w:eastAsia="宋体" w:cs="Arial"/>
          <w:sz w:val="24"/>
        </w:rPr>
      </w:pPr>
    </w:p>
    <w:p w14:paraId="4DFE04A8">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7966CAC5">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5430E4AC">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290F2F76">
      <w:pPr>
        <w:pStyle w:val="186"/>
        <w:spacing w:before="120" w:after="120"/>
        <w:rPr>
          <w:rFonts w:ascii="Arial" w:hAnsi="Arial" w:cs="Arial"/>
          <w:sz w:val="24"/>
        </w:rPr>
      </w:pPr>
      <w:r>
        <w:rPr>
          <w:rFonts w:ascii="Arial" w:hAnsi="Arial" w:cs="Arial"/>
          <w:b w:val="0"/>
          <w:szCs w:val="21"/>
        </w:rPr>
        <w:br w:type="page" w:clear="all"/>
      </w:r>
      <w:bookmarkEnd w:id="111"/>
      <w:r>
        <w:rPr>
          <w:rFonts w:hint="eastAsia" w:ascii="Arial" w:hAnsi="Arial" w:cs="Arial"/>
          <w:sz w:val="24"/>
          <w:lang w:val="en-US" w:eastAsia="zh-CN"/>
        </w:rPr>
        <w:t>4</w:t>
      </w:r>
      <w:r>
        <w:rPr>
          <w:rFonts w:hint="eastAsia" w:ascii="Arial" w:hAnsi="Arial" w:cs="Arial"/>
          <w:sz w:val="24"/>
        </w:rPr>
        <w:t>、投标分项报价表</w:t>
      </w:r>
    </w:p>
    <w:p w14:paraId="2FAC61C5">
      <w:pPr>
        <w:pStyle w:val="207"/>
        <w:spacing w:before="100" w:beforeAutospacing="1" w:after="100" w:afterAutospacing="1" w:line="360" w:lineRule="auto"/>
        <w:jc w:val="center"/>
        <w:rPr>
          <w:rFonts w:ascii="Arial" w:hAnsi="Arial" w:eastAsia="黑体" w:cs="Arial"/>
          <w:b/>
          <w:sz w:val="32"/>
        </w:rPr>
      </w:pPr>
      <w:r>
        <w:rPr>
          <w:rFonts w:ascii="Arial" w:hAnsi="Arial" w:eastAsia="黑体" w:cs="Arial"/>
          <w:b/>
          <w:sz w:val="32"/>
        </w:rPr>
        <w:t>投标分项报价表</w:t>
      </w:r>
    </w:p>
    <w:p w14:paraId="2A5D2F88">
      <w:pPr>
        <w:pStyle w:val="207"/>
        <w:spacing w:after="120" w:line="360" w:lineRule="auto"/>
        <w:rPr>
          <w:rFonts w:ascii="Arial" w:hAnsi="Arial" w:eastAsia="宋体" w:cs="Arial"/>
          <w:sz w:val="21"/>
          <w:szCs w:val="21"/>
          <w:u w:val="single"/>
        </w:rPr>
      </w:pPr>
      <w:r>
        <w:rPr>
          <w:rFonts w:hAnsi="宋体" w:eastAsia="宋体" w:cs="Arial"/>
          <w:sz w:val="24"/>
        </w:rPr>
        <w:t>项目编号：</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620"/>
        <w:gridCol w:w="2216"/>
        <w:gridCol w:w="1260"/>
        <w:gridCol w:w="962"/>
        <w:gridCol w:w="1344"/>
        <w:gridCol w:w="1228"/>
      </w:tblGrid>
      <w:tr w14:paraId="6AFE4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656" w:type="dxa"/>
            <w:noWrap w:val="0"/>
            <w:vAlign w:val="center"/>
          </w:tcPr>
          <w:p w14:paraId="66E3A0EF">
            <w:pPr>
              <w:spacing w:line="560" w:lineRule="exact"/>
              <w:jc w:val="center"/>
              <w:rPr>
                <w:rFonts w:ascii="宋体" w:hAnsi="宋体"/>
                <w:b/>
                <w:szCs w:val="21"/>
              </w:rPr>
            </w:pPr>
            <w:r>
              <w:rPr>
                <w:rFonts w:hint="eastAsia" w:ascii="宋体" w:hAnsi="宋体"/>
                <w:b/>
                <w:szCs w:val="21"/>
              </w:rPr>
              <w:t>序号</w:t>
            </w:r>
          </w:p>
        </w:tc>
        <w:tc>
          <w:tcPr>
            <w:tcW w:w="1620" w:type="dxa"/>
            <w:noWrap w:val="0"/>
            <w:vAlign w:val="center"/>
          </w:tcPr>
          <w:p w14:paraId="0E707A16">
            <w:pPr>
              <w:spacing w:line="560" w:lineRule="exact"/>
              <w:jc w:val="center"/>
              <w:rPr>
                <w:rFonts w:ascii="宋体" w:hAnsi="宋体"/>
                <w:b/>
                <w:szCs w:val="21"/>
              </w:rPr>
            </w:pPr>
            <w:r>
              <w:rPr>
                <w:rFonts w:hint="eastAsia" w:ascii="宋体" w:hAnsi="宋体"/>
                <w:b/>
                <w:szCs w:val="21"/>
              </w:rPr>
              <w:t>名称</w:t>
            </w:r>
          </w:p>
        </w:tc>
        <w:tc>
          <w:tcPr>
            <w:tcW w:w="2216" w:type="dxa"/>
            <w:noWrap w:val="0"/>
            <w:vAlign w:val="center"/>
          </w:tcPr>
          <w:p w14:paraId="34427613">
            <w:pPr>
              <w:spacing w:line="560" w:lineRule="exact"/>
              <w:jc w:val="center"/>
              <w:rPr>
                <w:rFonts w:ascii="宋体" w:hAnsi="宋体"/>
                <w:b/>
                <w:szCs w:val="21"/>
              </w:rPr>
            </w:pPr>
            <w:r>
              <w:rPr>
                <w:rFonts w:hint="eastAsia" w:ascii="宋体" w:hAnsi="宋体"/>
                <w:b/>
                <w:szCs w:val="21"/>
              </w:rPr>
              <w:t>具体要求</w:t>
            </w:r>
          </w:p>
        </w:tc>
        <w:tc>
          <w:tcPr>
            <w:tcW w:w="1260" w:type="dxa"/>
            <w:noWrap w:val="0"/>
            <w:vAlign w:val="center"/>
          </w:tcPr>
          <w:p w14:paraId="5AB07023">
            <w:pPr>
              <w:spacing w:line="560" w:lineRule="exact"/>
              <w:jc w:val="center"/>
              <w:rPr>
                <w:rFonts w:ascii="宋体" w:hAnsi="宋体"/>
                <w:b/>
                <w:szCs w:val="21"/>
              </w:rPr>
            </w:pPr>
            <w:r>
              <w:rPr>
                <w:rFonts w:hint="eastAsia" w:ascii="宋体" w:hAnsi="宋体"/>
                <w:b/>
                <w:szCs w:val="21"/>
              </w:rPr>
              <w:t>单价（元）</w:t>
            </w:r>
          </w:p>
        </w:tc>
        <w:tc>
          <w:tcPr>
            <w:tcW w:w="962" w:type="dxa"/>
            <w:noWrap w:val="0"/>
            <w:vAlign w:val="center"/>
          </w:tcPr>
          <w:p w14:paraId="1409736C">
            <w:pPr>
              <w:spacing w:line="560" w:lineRule="exact"/>
              <w:jc w:val="center"/>
              <w:rPr>
                <w:rFonts w:ascii="宋体" w:hAnsi="宋体"/>
                <w:b/>
                <w:szCs w:val="21"/>
              </w:rPr>
            </w:pPr>
            <w:r>
              <w:rPr>
                <w:rFonts w:hint="eastAsia" w:ascii="宋体" w:hAnsi="宋体"/>
                <w:b/>
                <w:szCs w:val="21"/>
              </w:rPr>
              <w:t>数量</w:t>
            </w:r>
          </w:p>
        </w:tc>
        <w:tc>
          <w:tcPr>
            <w:tcW w:w="1344" w:type="dxa"/>
            <w:noWrap w:val="0"/>
            <w:vAlign w:val="center"/>
          </w:tcPr>
          <w:p w14:paraId="41595F98">
            <w:pPr>
              <w:spacing w:line="560" w:lineRule="exact"/>
              <w:jc w:val="center"/>
              <w:rPr>
                <w:rFonts w:ascii="宋体" w:hAnsi="宋体"/>
                <w:b/>
                <w:szCs w:val="21"/>
              </w:rPr>
            </w:pPr>
            <w:r>
              <w:rPr>
                <w:rFonts w:hint="eastAsia" w:ascii="宋体" w:hAnsi="宋体"/>
                <w:b/>
                <w:szCs w:val="21"/>
              </w:rPr>
              <w:t>合价（元）</w:t>
            </w:r>
          </w:p>
        </w:tc>
        <w:tc>
          <w:tcPr>
            <w:tcW w:w="1228" w:type="dxa"/>
            <w:noWrap w:val="0"/>
            <w:vAlign w:val="center"/>
          </w:tcPr>
          <w:p w14:paraId="3D6041A5">
            <w:pPr>
              <w:spacing w:line="560" w:lineRule="exact"/>
              <w:jc w:val="center"/>
              <w:rPr>
                <w:rFonts w:ascii="宋体" w:hAnsi="宋体"/>
                <w:b/>
                <w:szCs w:val="21"/>
              </w:rPr>
            </w:pPr>
            <w:r>
              <w:rPr>
                <w:rFonts w:hint="eastAsia" w:ascii="宋体" w:hAnsi="宋体"/>
                <w:b/>
                <w:szCs w:val="21"/>
              </w:rPr>
              <w:t>备注</w:t>
            </w:r>
          </w:p>
        </w:tc>
      </w:tr>
      <w:tr w14:paraId="530CC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656" w:type="dxa"/>
            <w:noWrap w:val="0"/>
            <w:vAlign w:val="top"/>
          </w:tcPr>
          <w:p w14:paraId="6D1E5010">
            <w:pPr>
              <w:widowControl/>
              <w:spacing w:line="560" w:lineRule="exact"/>
              <w:rPr>
                <w:rFonts w:ascii="宋体" w:hAnsi="宋体"/>
                <w:szCs w:val="21"/>
              </w:rPr>
            </w:pPr>
          </w:p>
        </w:tc>
        <w:tc>
          <w:tcPr>
            <w:tcW w:w="1620" w:type="dxa"/>
            <w:noWrap w:val="0"/>
            <w:vAlign w:val="top"/>
          </w:tcPr>
          <w:p w14:paraId="338B14BE">
            <w:pPr>
              <w:widowControl/>
              <w:spacing w:line="560" w:lineRule="exact"/>
              <w:jc w:val="center"/>
              <w:rPr>
                <w:rFonts w:ascii="宋体" w:hAnsi="宋体"/>
                <w:szCs w:val="21"/>
              </w:rPr>
            </w:pPr>
          </w:p>
        </w:tc>
        <w:tc>
          <w:tcPr>
            <w:tcW w:w="2216" w:type="dxa"/>
            <w:noWrap w:val="0"/>
            <w:vAlign w:val="top"/>
          </w:tcPr>
          <w:p w14:paraId="01200CC9">
            <w:pPr>
              <w:widowControl/>
              <w:spacing w:line="560" w:lineRule="exact"/>
              <w:jc w:val="center"/>
              <w:rPr>
                <w:rFonts w:ascii="宋体" w:hAnsi="宋体"/>
                <w:szCs w:val="21"/>
              </w:rPr>
            </w:pPr>
          </w:p>
        </w:tc>
        <w:tc>
          <w:tcPr>
            <w:tcW w:w="1260" w:type="dxa"/>
            <w:noWrap w:val="0"/>
            <w:vAlign w:val="center"/>
          </w:tcPr>
          <w:p w14:paraId="34FAEC5A">
            <w:pPr>
              <w:spacing w:line="560" w:lineRule="exact"/>
              <w:jc w:val="center"/>
              <w:rPr>
                <w:rFonts w:ascii="宋体" w:hAnsi="宋体"/>
                <w:szCs w:val="21"/>
              </w:rPr>
            </w:pPr>
          </w:p>
        </w:tc>
        <w:tc>
          <w:tcPr>
            <w:tcW w:w="962" w:type="dxa"/>
            <w:noWrap w:val="0"/>
            <w:vAlign w:val="top"/>
          </w:tcPr>
          <w:p w14:paraId="52AAC057">
            <w:pPr>
              <w:widowControl/>
              <w:spacing w:line="560" w:lineRule="exact"/>
              <w:jc w:val="center"/>
              <w:rPr>
                <w:rFonts w:ascii="宋体" w:hAnsi="宋体"/>
                <w:szCs w:val="21"/>
              </w:rPr>
            </w:pPr>
          </w:p>
        </w:tc>
        <w:tc>
          <w:tcPr>
            <w:tcW w:w="1344" w:type="dxa"/>
            <w:noWrap w:val="0"/>
            <w:vAlign w:val="center"/>
          </w:tcPr>
          <w:p w14:paraId="25FE4836">
            <w:pPr>
              <w:spacing w:line="560" w:lineRule="exact"/>
              <w:jc w:val="center"/>
              <w:rPr>
                <w:rFonts w:ascii="宋体" w:hAnsi="宋体"/>
                <w:szCs w:val="21"/>
              </w:rPr>
            </w:pPr>
          </w:p>
        </w:tc>
        <w:tc>
          <w:tcPr>
            <w:tcW w:w="1228" w:type="dxa"/>
            <w:noWrap w:val="0"/>
            <w:vAlign w:val="center"/>
          </w:tcPr>
          <w:p w14:paraId="3FD328AC">
            <w:pPr>
              <w:spacing w:line="560" w:lineRule="exact"/>
              <w:jc w:val="center"/>
              <w:rPr>
                <w:rFonts w:ascii="宋体" w:hAnsi="宋体"/>
                <w:szCs w:val="21"/>
              </w:rPr>
            </w:pPr>
          </w:p>
        </w:tc>
      </w:tr>
      <w:tr w14:paraId="2CE41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jc w:val="center"/>
        </w:trPr>
        <w:tc>
          <w:tcPr>
            <w:tcW w:w="656" w:type="dxa"/>
            <w:noWrap w:val="0"/>
            <w:vAlign w:val="top"/>
          </w:tcPr>
          <w:p w14:paraId="7C577920">
            <w:pPr>
              <w:widowControl/>
              <w:spacing w:line="560" w:lineRule="exact"/>
              <w:rPr>
                <w:rFonts w:ascii="宋体" w:hAnsi="宋体"/>
                <w:szCs w:val="21"/>
              </w:rPr>
            </w:pPr>
          </w:p>
        </w:tc>
        <w:tc>
          <w:tcPr>
            <w:tcW w:w="1620" w:type="dxa"/>
            <w:noWrap w:val="0"/>
            <w:vAlign w:val="top"/>
          </w:tcPr>
          <w:p w14:paraId="3D512884">
            <w:pPr>
              <w:widowControl/>
              <w:spacing w:line="560" w:lineRule="exact"/>
              <w:jc w:val="center"/>
              <w:rPr>
                <w:rFonts w:ascii="宋体" w:hAnsi="宋体"/>
                <w:szCs w:val="21"/>
              </w:rPr>
            </w:pPr>
          </w:p>
        </w:tc>
        <w:tc>
          <w:tcPr>
            <w:tcW w:w="2216" w:type="dxa"/>
            <w:noWrap w:val="0"/>
            <w:vAlign w:val="top"/>
          </w:tcPr>
          <w:p w14:paraId="79E1A52E">
            <w:pPr>
              <w:widowControl/>
              <w:spacing w:line="560" w:lineRule="exact"/>
              <w:jc w:val="center"/>
              <w:rPr>
                <w:rFonts w:ascii="宋体" w:hAnsi="宋体"/>
                <w:szCs w:val="21"/>
              </w:rPr>
            </w:pPr>
          </w:p>
        </w:tc>
        <w:tc>
          <w:tcPr>
            <w:tcW w:w="1260" w:type="dxa"/>
            <w:noWrap w:val="0"/>
            <w:vAlign w:val="center"/>
          </w:tcPr>
          <w:p w14:paraId="721E04C3">
            <w:pPr>
              <w:spacing w:line="560" w:lineRule="exact"/>
              <w:jc w:val="center"/>
              <w:rPr>
                <w:rFonts w:ascii="宋体" w:hAnsi="宋体"/>
                <w:szCs w:val="21"/>
              </w:rPr>
            </w:pPr>
          </w:p>
        </w:tc>
        <w:tc>
          <w:tcPr>
            <w:tcW w:w="962" w:type="dxa"/>
            <w:noWrap w:val="0"/>
            <w:vAlign w:val="top"/>
          </w:tcPr>
          <w:p w14:paraId="21191861">
            <w:pPr>
              <w:widowControl/>
              <w:spacing w:line="560" w:lineRule="exact"/>
              <w:jc w:val="center"/>
              <w:rPr>
                <w:rFonts w:ascii="宋体" w:hAnsi="宋体"/>
                <w:szCs w:val="21"/>
              </w:rPr>
            </w:pPr>
          </w:p>
        </w:tc>
        <w:tc>
          <w:tcPr>
            <w:tcW w:w="1344" w:type="dxa"/>
            <w:noWrap w:val="0"/>
            <w:vAlign w:val="center"/>
          </w:tcPr>
          <w:p w14:paraId="3AB5F78E">
            <w:pPr>
              <w:spacing w:line="560" w:lineRule="exact"/>
              <w:jc w:val="center"/>
              <w:rPr>
                <w:rFonts w:ascii="宋体" w:hAnsi="宋体"/>
                <w:szCs w:val="21"/>
              </w:rPr>
            </w:pPr>
          </w:p>
        </w:tc>
        <w:tc>
          <w:tcPr>
            <w:tcW w:w="1228" w:type="dxa"/>
            <w:noWrap w:val="0"/>
            <w:vAlign w:val="center"/>
          </w:tcPr>
          <w:p w14:paraId="7D7891C2">
            <w:pPr>
              <w:spacing w:line="560" w:lineRule="exact"/>
              <w:jc w:val="center"/>
              <w:rPr>
                <w:rFonts w:ascii="宋体" w:hAnsi="宋体"/>
                <w:szCs w:val="21"/>
              </w:rPr>
            </w:pPr>
          </w:p>
        </w:tc>
      </w:tr>
      <w:tr w14:paraId="0E09E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jc w:val="center"/>
        </w:trPr>
        <w:tc>
          <w:tcPr>
            <w:tcW w:w="656" w:type="dxa"/>
            <w:noWrap w:val="0"/>
            <w:vAlign w:val="top"/>
          </w:tcPr>
          <w:p w14:paraId="3CA1269C">
            <w:pPr>
              <w:widowControl/>
              <w:spacing w:line="560" w:lineRule="exact"/>
              <w:rPr>
                <w:rFonts w:ascii="宋体" w:hAnsi="宋体"/>
                <w:szCs w:val="21"/>
              </w:rPr>
            </w:pPr>
          </w:p>
        </w:tc>
        <w:tc>
          <w:tcPr>
            <w:tcW w:w="1620" w:type="dxa"/>
            <w:noWrap w:val="0"/>
            <w:vAlign w:val="top"/>
          </w:tcPr>
          <w:p w14:paraId="68E81770">
            <w:pPr>
              <w:widowControl/>
              <w:spacing w:line="560" w:lineRule="exact"/>
              <w:jc w:val="center"/>
              <w:rPr>
                <w:rFonts w:ascii="宋体" w:hAnsi="宋体"/>
                <w:szCs w:val="21"/>
              </w:rPr>
            </w:pPr>
          </w:p>
        </w:tc>
        <w:tc>
          <w:tcPr>
            <w:tcW w:w="2216" w:type="dxa"/>
            <w:noWrap w:val="0"/>
            <w:vAlign w:val="top"/>
          </w:tcPr>
          <w:p w14:paraId="2B6887BC">
            <w:pPr>
              <w:widowControl/>
              <w:spacing w:line="560" w:lineRule="exact"/>
              <w:jc w:val="center"/>
              <w:rPr>
                <w:rFonts w:ascii="宋体" w:hAnsi="宋体"/>
                <w:szCs w:val="21"/>
              </w:rPr>
            </w:pPr>
          </w:p>
        </w:tc>
        <w:tc>
          <w:tcPr>
            <w:tcW w:w="1260" w:type="dxa"/>
            <w:noWrap w:val="0"/>
            <w:vAlign w:val="center"/>
          </w:tcPr>
          <w:p w14:paraId="4A1657DB">
            <w:pPr>
              <w:spacing w:line="560" w:lineRule="exact"/>
              <w:jc w:val="center"/>
              <w:rPr>
                <w:rFonts w:ascii="宋体" w:hAnsi="宋体"/>
                <w:szCs w:val="21"/>
              </w:rPr>
            </w:pPr>
          </w:p>
        </w:tc>
        <w:tc>
          <w:tcPr>
            <w:tcW w:w="962" w:type="dxa"/>
            <w:noWrap w:val="0"/>
            <w:vAlign w:val="top"/>
          </w:tcPr>
          <w:p w14:paraId="16F351B3">
            <w:pPr>
              <w:widowControl/>
              <w:spacing w:line="560" w:lineRule="exact"/>
              <w:jc w:val="center"/>
              <w:rPr>
                <w:rFonts w:ascii="宋体" w:hAnsi="宋体"/>
                <w:szCs w:val="21"/>
              </w:rPr>
            </w:pPr>
          </w:p>
        </w:tc>
        <w:tc>
          <w:tcPr>
            <w:tcW w:w="1344" w:type="dxa"/>
            <w:noWrap w:val="0"/>
            <w:vAlign w:val="center"/>
          </w:tcPr>
          <w:p w14:paraId="42A56506">
            <w:pPr>
              <w:spacing w:line="560" w:lineRule="exact"/>
              <w:jc w:val="center"/>
              <w:rPr>
                <w:rFonts w:ascii="宋体" w:hAnsi="宋体"/>
                <w:szCs w:val="21"/>
              </w:rPr>
            </w:pPr>
          </w:p>
        </w:tc>
        <w:tc>
          <w:tcPr>
            <w:tcW w:w="1228" w:type="dxa"/>
            <w:noWrap w:val="0"/>
            <w:vAlign w:val="center"/>
          </w:tcPr>
          <w:p w14:paraId="15ABE139">
            <w:pPr>
              <w:spacing w:line="560" w:lineRule="exact"/>
              <w:jc w:val="center"/>
              <w:rPr>
                <w:rFonts w:ascii="宋体" w:hAnsi="宋体"/>
                <w:szCs w:val="21"/>
              </w:rPr>
            </w:pPr>
          </w:p>
        </w:tc>
      </w:tr>
      <w:tr w14:paraId="3811E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0" w:hRule="atLeast"/>
          <w:jc w:val="center"/>
        </w:trPr>
        <w:tc>
          <w:tcPr>
            <w:tcW w:w="656" w:type="dxa"/>
            <w:noWrap w:val="0"/>
            <w:vAlign w:val="top"/>
          </w:tcPr>
          <w:p w14:paraId="10F856BA">
            <w:pPr>
              <w:widowControl/>
              <w:spacing w:line="560" w:lineRule="exact"/>
              <w:rPr>
                <w:rFonts w:ascii="宋体" w:hAnsi="宋体"/>
                <w:szCs w:val="21"/>
              </w:rPr>
            </w:pPr>
          </w:p>
        </w:tc>
        <w:tc>
          <w:tcPr>
            <w:tcW w:w="1620" w:type="dxa"/>
            <w:noWrap w:val="0"/>
            <w:vAlign w:val="top"/>
          </w:tcPr>
          <w:p w14:paraId="0C24290C">
            <w:pPr>
              <w:widowControl/>
              <w:spacing w:line="560" w:lineRule="exact"/>
              <w:jc w:val="center"/>
              <w:rPr>
                <w:rFonts w:ascii="宋体" w:hAnsi="宋体"/>
                <w:szCs w:val="21"/>
              </w:rPr>
            </w:pPr>
          </w:p>
        </w:tc>
        <w:tc>
          <w:tcPr>
            <w:tcW w:w="2216" w:type="dxa"/>
            <w:noWrap w:val="0"/>
            <w:vAlign w:val="top"/>
          </w:tcPr>
          <w:p w14:paraId="202E9817">
            <w:pPr>
              <w:widowControl/>
              <w:spacing w:line="560" w:lineRule="exact"/>
              <w:jc w:val="center"/>
              <w:rPr>
                <w:rFonts w:ascii="宋体" w:hAnsi="宋体"/>
                <w:szCs w:val="21"/>
              </w:rPr>
            </w:pPr>
          </w:p>
        </w:tc>
        <w:tc>
          <w:tcPr>
            <w:tcW w:w="1260" w:type="dxa"/>
            <w:noWrap w:val="0"/>
            <w:vAlign w:val="center"/>
          </w:tcPr>
          <w:p w14:paraId="3A0BC2EB">
            <w:pPr>
              <w:spacing w:line="560" w:lineRule="exact"/>
              <w:jc w:val="center"/>
              <w:rPr>
                <w:rFonts w:ascii="宋体" w:hAnsi="宋体"/>
                <w:szCs w:val="21"/>
              </w:rPr>
            </w:pPr>
          </w:p>
        </w:tc>
        <w:tc>
          <w:tcPr>
            <w:tcW w:w="962" w:type="dxa"/>
            <w:noWrap w:val="0"/>
            <w:vAlign w:val="top"/>
          </w:tcPr>
          <w:p w14:paraId="302D4203">
            <w:pPr>
              <w:widowControl/>
              <w:spacing w:line="560" w:lineRule="exact"/>
              <w:jc w:val="center"/>
              <w:rPr>
                <w:rFonts w:ascii="宋体" w:hAnsi="宋体"/>
                <w:szCs w:val="21"/>
              </w:rPr>
            </w:pPr>
          </w:p>
        </w:tc>
        <w:tc>
          <w:tcPr>
            <w:tcW w:w="1344" w:type="dxa"/>
            <w:noWrap w:val="0"/>
            <w:vAlign w:val="center"/>
          </w:tcPr>
          <w:p w14:paraId="7CA50673">
            <w:pPr>
              <w:spacing w:line="560" w:lineRule="exact"/>
              <w:jc w:val="center"/>
              <w:rPr>
                <w:rFonts w:ascii="宋体" w:hAnsi="宋体"/>
                <w:szCs w:val="21"/>
              </w:rPr>
            </w:pPr>
          </w:p>
        </w:tc>
        <w:tc>
          <w:tcPr>
            <w:tcW w:w="1228" w:type="dxa"/>
            <w:noWrap w:val="0"/>
            <w:vAlign w:val="center"/>
          </w:tcPr>
          <w:p w14:paraId="398AC3D7">
            <w:pPr>
              <w:spacing w:line="560" w:lineRule="exact"/>
              <w:jc w:val="center"/>
              <w:rPr>
                <w:rFonts w:ascii="宋体" w:hAnsi="宋体"/>
                <w:szCs w:val="21"/>
              </w:rPr>
            </w:pPr>
          </w:p>
        </w:tc>
      </w:tr>
      <w:tr w14:paraId="4E531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vAlign w:val="center"/>
          </w:tcPr>
          <w:p w14:paraId="0B018F18">
            <w:pPr>
              <w:spacing w:line="560" w:lineRule="exact"/>
              <w:rPr>
                <w:rFonts w:ascii="宋体" w:hAnsi="宋体"/>
                <w:szCs w:val="21"/>
              </w:rPr>
            </w:pPr>
          </w:p>
        </w:tc>
        <w:tc>
          <w:tcPr>
            <w:tcW w:w="1620" w:type="dxa"/>
            <w:noWrap w:val="0"/>
            <w:vAlign w:val="center"/>
          </w:tcPr>
          <w:p w14:paraId="40B8B87E">
            <w:pPr>
              <w:spacing w:line="560" w:lineRule="exact"/>
              <w:jc w:val="center"/>
              <w:rPr>
                <w:rFonts w:ascii="宋体" w:hAnsi="宋体"/>
                <w:szCs w:val="21"/>
              </w:rPr>
            </w:pPr>
          </w:p>
        </w:tc>
        <w:tc>
          <w:tcPr>
            <w:tcW w:w="2216" w:type="dxa"/>
            <w:noWrap w:val="0"/>
            <w:vAlign w:val="center"/>
          </w:tcPr>
          <w:p w14:paraId="52090C4D">
            <w:pPr>
              <w:spacing w:line="560" w:lineRule="exact"/>
              <w:jc w:val="center"/>
              <w:rPr>
                <w:rFonts w:ascii="宋体" w:hAnsi="宋体"/>
                <w:szCs w:val="21"/>
              </w:rPr>
            </w:pPr>
          </w:p>
        </w:tc>
        <w:tc>
          <w:tcPr>
            <w:tcW w:w="1260" w:type="dxa"/>
            <w:noWrap w:val="0"/>
            <w:vAlign w:val="center"/>
          </w:tcPr>
          <w:p w14:paraId="73662620">
            <w:pPr>
              <w:spacing w:line="560" w:lineRule="exact"/>
              <w:jc w:val="center"/>
              <w:rPr>
                <w:rFonts w:ascii="宋体" w:hAnsi="宋体"/>
                <w:szCs w:val="21"/>
              </w:rPr>
            </w:pPr>
          </w:p>
        </w:tc>
        <w:tc>
          <w:tcPr>
            <w:tcW w:w="962" w:type="dxa"/>
            <w:noWrap w:val="0"/>
            <w:vAlign w:val="top"/>
          </w:tcPr>
          <w:p w14:paraId="5CC4B1D8">
            <w:pPr>
              <w:widowControl/>
              <w:spacing w:line="560" w:lineRule="exact"/>
              <w:jc w:val="center"/>
              <w:rPr>
                <w:rFonts w:ascii="宋体" w:hAnsi="宋体"/>
                <w:szCs w:val="21"/>
              </w:rPr>
            </w:pPr>
          </w:p>
        </w:tc>
        <w:tc>
          <w:tcPr>
            <w:tcW w:w="1344" w:type="dxa"/>
            <w:noWrap w:val="0"/>
            <w:vAlign w:val="center"/>
          </w:tcPr>
          <w:p w14:paraId="1F9F6626">
            <w:pPr>
              <w:spacing w:line="560" w:lineRule="exact"/>
              <w:jc w:val="center"/>
              <w:rPr>
                <w:rFonts w:ascii="宋体" w:hAnsi="宋体"/>
                <w:szCs w:val="21"/>
              </w:rPr>
            </w:pPr>
          </w:p>
        </w:tc>
        <w:tc>
          <w:tcPr>
            <w:tcW w:w="1228" w:type="dxa"/>
            <w:noWrap w:val="0"/>
            <w:vAlign w:val="center"/>
          </w:tcPr>
          <w:p w14:paraId="24C12302">
            <w:pPr>
              <w:spacing w:line="560" w:lineRule="exact"/>
              <w:jc w:val="center"/>
              <w:rPr>
                <w:rFonts w:ascii="宋体" w:hAnsi="宋体"/>
                <w:szCs w:val="21"/>
              </w:rPr>
            </w:pPr>
          </w:p>
        </w:tc>
      </w:tr>
      <w:tr w14:paraId="749C3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vAlign w:val="top"/>
          </w:tcPr>
          <w:p w14:paraId="7ABDACF3">
            <w:pPr>
              <w:widowControl/>
              <w:spacing w:line="560" w:lineRule="exact"/>
              <w:rPr>
                <w:rFonts w:ascii="宋体" w:hAnsi="宋体"/>
                <w:szCs w:val="21"/>
              </w:rPr>
            </w:pPr>
          </w:p>
        </w:tc>
        <w:tc>
          <w:tcPr>
            <w:tcW w:w="1620" w:type="dxa"/>
            <w:noWrap w:val="0"/>
            <w:vAlign w:val="top"/>
          </w:tcPr>
          <w:p w14:paraId="7993955C">
            <w:pPr>
              <w:widowControl/>
              <w:spacing w:line="560" w:lineRule="exact"/>
              <w:jc w:val="center"/>
              <w:rPr>
                <w:rFonts w:ascii="宋体" w:hAnsi="宋体"/>
                <w:szCs w:val="21"/>
              </w:rPr>
            </w:pPr>
          </w:p>
        </w:tc>
        <w:tc>
          <w:tcPr>
            <w:tcW w:w="2216" w:type="dxa"/>
            <w:noWrap w:val="0"/>
            <w:vAlign w:val="top"/>
          </w:tcPr>
          <w:p w14:paraId="37C20634">
            <w:pPr>
              <w:widowControl/>
              <w:spacing w:line="560" w:lineRule="exact"/>
              <w:jc w:val="center"/>
              <w:rPr>
                <w:rFonts w:ascii="宋体" w:hAnsi="宋体"/>
                <w:szCs w:val="21"/>
              </w:rPr>
            </w:pPr>
          </w:p>
        </w:tc>
        <w:tc>
          <w:tcPr>
            <w:tcW w:w="1260" w:type="dxa"/>
            <w:noWrap w:val="0"/>
            <w:vAlign w:val="center"/>
          </w:tcPr>
          <w:p w14:paraId="3226D67B">
            <w:pPr>
              <w:spacing w:line="560" w:lineRule="exact"/>
              <w:jc w:val="center"/>
              <w:rPr>
                <w:rFonts w:ascii="宋体" w:hAnsi="宋体"/>
                <w:szCs w:val="21"/>
              </w:rPr>
            </w:pPr>
          </w:p>
        </w:tc>
        <w:tc>
          <w:tcPr>
            <w:tcW w:w="962" w:type="dxa"/>
            <w:noWrap w:val="0"/>
            <w:vAlign w:val="top"/>
          </w:tcPr>
          <w:p w14:paraId="400385F9">
            <w:pPr>
              <w:widowControl/>
              <w:spacing w:line="560" w:lineRule="exact"/>
              <w:jc w:val="center"/>
              <w:rPr>
                <w:rFonts w:ascii="宋体" w:hAnsi="宋体"/>
                <w:szCs w:val="21"/>
              </w:rPr>
            </w:pPr>
          </w:p>
        </w:tc>
        <w:tc>
          <w:tcPr>
            <w:tcW w:w="1344" w:type="dxa"/>
            <w:noWrap w:val="0"/>
            <w:vAlign w:val="center"/>
          </w:tcPr>
          <w:p w14:paraId="288BB523">
            <w:pPr>
              <w:spacing w:line="560" w:lineRule="exact"/>
              <w:jc w:val="center"/>
              <w:rPr>
                <w:rFonts w:ascii="宋体" w:hAnsi="宋体"/>
                <w:szCs w:val="21"/>
              </w:rPr>
            </w:pPr>
          </w:p>
        </w:tc>
        <w:tc>
          <w:tcPr>
            <w:tcW w:w="1228" w:type="dxa"/>
            <w:noWrap w:val="0"/>
            <w:vAlign w:val="center"/>
          </w:tcPr>
          <w:p w14:paraId="038D86D0">
            <w:pPr>
              <w:spacing w:line="560" w:lineRule="exact"/>
              <w:jc w:val="center"/>
              <w:rPr>
                <w:rFonts w:ascii="宋体" w:hAnsi="宋体"/>
                <w:szCs w:val="21"/>
              </w:rPr>
            </w:pPr>
          </w:p>
        </w:tc>
      </w:tr>
      <w:tr w14:paraId="67054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vAlign w:val="top"/>
          </w:tcPr>
          <w:p w14:paraId="29F01AD5">
            <w:pPr>
              <w:widowControl/>
              <w:spacing w:line="560" w:lineRule="exact"/>
              <w:rPr>
                <w:rFonts w:ascii="宋体" w:hAnsi="宋体"/>
                <w:szCs w:val="21"/>
              </w:rPr>
            </w:pPr>
          </w:p>
        </w:tc>
        <w:tc>
          <w:tcPr>
            <w:tcW w:w="1620" w:type="dxa"/>
            <w:noWrap w:val="0"/>
            <w:vAlign w:val="top"/>
          </w:tcPr>
          <w:p w14:paraId="58CE067B">
            <w:pPr>
              <w:widowControl/>
              <w:spacing w:line="560" w:lineRule="exact"/>
              <w:jc w:val="center"/>
              <w:rPr>
                <w:rFonts w:ascii="宋体" w:hAnsi="宋体"/>
                <w:szCs w:val="21"/>
              </w:rPr>
            </w:pPr>
          </w:p>
        </w:tc>
        <w:tc>
          <w:tcPr>
            <w:tcW w:w="2216" w:type="dxa"/>
            <w:noWrap w:val="0"/>
            <w:vAlign w:val="top"/>
          </w:tcPr>
          <w:p w14:paraId="0E6EF4E5">
            <w:pPr>
              <w:widowControl/>
              <w:spacing w:line="560" w:lineRule="exact"/>
              <w:jc w:val="center"/>
              <w:rPr>
                <w:rFonts w:ascii="宋体" w:hAnsi="宋体"/>
                <w:szCs w:val="21"/>
              </w:rPr>
            </w:pPr>
          </w:p>
        </w:tc>
        <w:tc>
          <w:tcPr>
            <w:tcW w:w="1260" w:type="dxa"/>
            <w:noWrap w:val="0"/>
            <w:vAlign w:val="center"/>
          </w:tcPr>
          <w:p w14:paraId="3983F17D">
            <w:pPr>
              <w:spacing w:line="560" w:lineRule="exact"/>
              <w:jc w:val="center"/>
              <w:rPr>
                <w:rFonts w:ascii="宋体" w:hAnsi="宋体"/>
                <w:szCs w:val="21"/>
              </w:rPr>
            </w:pPr>
          </w:p>
        </w:tc>
        <w:tc>
          <w:tcPr>
            <w:tcW w:w="962" w:type="dxa"/>
            <w:noWrap w:val="0"/>
            <w:vAlign w:val="top"/>
          </w:tcPr>
          <w:p w14:paraId="2714B41D">
            <w:pPr>
              <w:widowControl/>
              <w:spacing w:line="560" w:lineRule="exact"/>
              <w:jc w:val="center"/>
              <w:rPr>
                <w:rFonts w:ascii="宋体" w:hAnsi="宋体"/>
                <w:szCs w:val="21"/>
              </w:rPr>
            </w:pPr>
          </w:p>
        </w:tc>
        <w:tc>
          <w:tcPr>
            <w:tcW w:w="1344" w:type="dxa"/>
            <w:noWrap w:val="0"/>
            <w:vAlign w:val="center"/>
          </w:tcPr>
          <w:p w14:paraId="0ECB860E">
            <w:pPr>
              <w:spacing w:line="560" w:lineRule="exact"/>
              <w:jc w:val="center"/>
              <w:rPr>
                <w:rFonts w:ascii="宋体" w:hAnsi="宋体"/>
                <w:szCs w:val="21"/>
              </w:rPr>
            </w:pPr>
          </w:p>
        </w:tc>
        <w:tc>
          <w:tcPr>
            <w:tcW w:w="1228" w:type="dxa"/>
            <w:noWrap w:val="0"/>
            <w:vAlign w:val="center"/>
          </w:tcPr>
          <w:p w14:paraId="348E41DC">
            <w:pPr>
              <w:spacing w:line="560" w:lineRule="exact"/>
              <w:jc w:val="center"/>
              <w:rPr>
                <w:rFonts w:ascii="宋体" w:hAnsi="宋体"/>
                <w:szCs w:val="21"/>
              </w:rPr>
            </w:pPr>
          </w:p>
        </w:tc>
      </w:tr>
      <w:tr w14:paraId="3930C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noWrap w:val="0"/>
            <w:vAlign w:val="top"/>
          </w:tcPr>
          <w:p w14:paraId="1D2ECBF0">
            <w:pPr>
              <w:widowControl/>
              <w:spacing w:line="560" w:lineRule="exact"/>
              <w:rPr>
                <w:rFonts w:ascii="宋体" w:hAnsi="宋体"/>
                <w:szCs w:val="21"/>
              </w:rPr>
            </w:pPr>
          </w:p>
        </w:tc>
        <w:tc>
          <w:tcPr>
            <w:tcW w:w="1620" w:type="dxa"/>
            <w:noWrap w:val="0"/>
            <w:vAlign w:val="top"/>
          </w:tcPr>
          <w:p w14:paraId="54453E9B">
            <w:pPr>
              <w:widowControl/>
              <w:spacing w:line="560" w:lineRule="exact"/>
              <w:jc w:val="center"/>
              <w:rPr>
                <w:rFonts w:ascii="宋体" w:hAnsi="宋体"/>
                <w:szCs w:val="21"/>
              </w:rPr>
            </w:pPr>
          </w:p>
        </w:tc>
        <w:tc>
          <w:tcPr>
            <w:tcW w:w="2216" w:type="dxa"/>
            <w:noWrap w:val="0"/>
            <w:vAlign w:val="top"/>
          </w:tcPr>
          <w:p w14:paraId="74C070C7">
            <w:pPr>
              <w:widowControl/>
              <w:spacing w:line="560" w:lineRule="exact"/>
              <w:jc w:val="center"/>
              <w:rPr>
                <w:rFonts w:ascii="宋体" w:hAnsi="宋体"/>
                <w:szCs w:val="21"/>
              </w:rPr>
            </w:pPr>
          </w:p>
        </w:tc>
        <w:tc>
          <w:tcPr>
            <w:tcW w:w="1260" w:type="dxa"/>
            <w:noWrap w:val="0"/>
            <w:vAlign w:val="center"/>
          </w:tcPr>
          <w:p w14:paraId="25AE9119">
            <w:pPr>
              <w:spacing w:line="560" w:lineRule="exact"/>
              <w:jc w:val="center"/>
              <w:rPr>
                <w:rFonts w:ascii="宋体" w:hAnsi="宋体"/>
                <w:szCs w:val="21"/>
              </w:rPr>
            </w:pPr>
          </w:p>
        </w:tc>
        <w:tc>
          <w:tcPr>
            <w:tcW w:w="962" w:type="dxa"/>
            <w:noWrap w:val="0"/>
            <w:vAlign w:val="top"/>
          </w:tcPr>
          <w:p w14:paraId="0CD74A9F">
            <w:pPr>
              <w:widowControl/>
              <w:spacing w:line="560" w:lineRule="exact"/>
              <w:jc w:val="center"/>
              <w:rPr>
                <w:rFonts w:ascii="宋体" w:hAnsi="宋体"/>
                <w:szCs w:val="21"/>
              </w:rPr>
            </w:pPr>
          </w:p>
        </w:tc>
        <w:tc>
          <w:tcPr>
            <w:tcW w:w="1344" w:type="dxa"/>
            <w:noWrap w:val="0"/>
            <w:vAlign w:val="center"/>
          </w:tcPr>
          <w:p w14:paraId="54F1E263">
            <w:pPr>
              <w:spacing w:line="560" w:lineRule="exact"/>
              <w:jc w:val="center"/>
              <w:rPr>
                <w:rFonts w:ascii="宋体" w:hAnsi="宋体"/>
                <w:szCs w:val="21"/>
              </w:rPr>
            </w:pPr>
          </w:p>
        </w:tc>
        <w:tc>
          <w:tcPr>
            <w:tcW w:w="1228" w:type="dxa"/>
            <w:noWrap w:val="0"/>
            <w:vAlign w:val="center"/>
          </w:tcPr>
          <w:p w14:paraId="09DD979A">
            <w:pPr>
              <w:spacing w:line="560" w:lineRule="exact"/>
              <w:jc w:val="center"/>
              <w:rPr>
                <w:rFonts w:ascii="宋体" w:hAnsi="宋体"/>
                <w:szCs w:val="21"/>
              </w:rPr>
            </w:pPr>
          </w:p>
        </w:tc>
      </w:tr>
      <w:tr w14:paraId="68280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noWrap w:val="0"/>
            <w:vAlign w:val="center"/>
          </w:tcPr>
          <w:p w14:paraId="661D9B32">
            <w:pPr>
              <w:spacing w:line="560" w:lineRule="exact"/>
              <w:jc w:val="center"/>
              <w:rPr>
                <w:rFonts w:ascii="宋体" w:hAnsi="宋体"/>
                <w:i/>
                <w:iCs/>
                <w:szCs w:val="21"/>
              </w:rPr>
            </w:pPr>
            <w:r>
              <w:rPr>
                <w:rFonts w:ascii="宋体" w:hAnsi="宋体"/>
                <w:i/>
                <w:iCs/>
                <w:szCs w:val="21"/>
              </w:rPr>
              <w:t>…</w:t>
            </w:r>
          </w:p>
        </w:tc>
        <w:tc>
          <w:tcPr>
            <w:tcW w:w="1620" w:type="dxa"/>
            <w:noWrap w:val="0"/>
            <w:vAlign w:val="center"/>
          </w:tcPr>
          <w:p w14:paraId="33755D3C">
            <w:pPr>
              <w:spacing w:line="560" w:lineRule="exact"/>
              <w:jc w:val="center"/>
              <w:rPr>
                <w:rFonts w:ascii="宋体" w:hAnsi="宋体"/>
                <w:iCs/>
                <w:szCs w:val="21"/>
              </w:rPr>
            </w:pPr>
          </w:p>
        </w:tc>
        <w:tc>
          <w:tcPr>
            <w:tcW w:w="2216" w:type="dxa"/>
            <w:noWrap w:val="0"/>
            <w:vAlign w:val="center"/>
          </w:tcPr>
          <w:p w14:paraId="732AA834">
            <w:pPr>
              <w:spacing w:line="560" w:lineRule="exact"/>
              <w:jc w:val="center"/>
              <w:rPr>
                <w:rFonts w:ascii="宋体" w:hAnsi="宋体"/>
                <w:i/>
                <w:iCs/>
                <w:szCs w:val="21"/>
              </w:rPr>
            </w:pPr>
          </w:p>
        </w:tc>
        <w:tc>
          <w:tcPr>
            <w:tcW w:w="1260" w:type="dxa"/>
            <w:noWrap w:val="0"/>
            <w:vAlign w:val="center"/>
          </w:tcPr>
          <w:p w14:paraId="3C967E55">
            <w:pPr>
              <w:spacing w:line="560" w:lineRule="exact"/>
              <w:jc w:val="center"/>
              <w:rPr>
                <w:rFonts w:ascii="宋体" w:hAnsi="宋体"/>
                <w:szCs w:val="21"/>
              </w:rPr>
            </w:pPr>
          </w:p>
        </w:tc>
        <w:tc>
          <w:tcPr>
            <w:tcW w:w="962" w:type="dxa"/>
            <w:noWrap w:val="0"/>
            <w:vAlign w:val="center"/>
          </w:tcPr>
          <w:p w14:paraId="13F1F9AB">
            <w:pPr>
              <w:spacing w:line="560" w:lineRule="exact"/>
              <w:jc w:val="center"/>
              <w:rPr>
                <w:rFonts w:ascii="宋体" w:hAnsi="宋体"/>
                <w:szCs w:val="21"/>
              </w:rPr>
            </w:pPr>
          </w:p>
        </w:tc>
        <w:tc>
          <w:tcPr>
            <w:tcW w:w="1344" w:type="dxa"/>
            <w:noWrap w:val="0"/>
            <w:vAlign w:val="center"/>
          </w:tcPr>
          <w:p w14:paraId="5A920406">
            <w:pPr>
              <w:spacing w:line="560" w:lineRule="exact"/>
              <w:jc w:val="center"/>
              <w:rPr>
                <w:rFonts w:ascii="宋体" w:hAnsi="宋体"/>
                <w:szCs w:val="21"/>
              </w:rPr>
            </w:pPr>
          </w:p>
        </w:tc>
        <w:tc>
          <w:tcPr>
            <w:tcW w:w="1228" w:type="dxa"/>
            <w:noWrap w:val="0"/>
            <w:vAlign w:val="center"/>
          </w:tcPr>
          <w:p w14:paraId="60C24879">
            <w:pPr>
              <w:spacing w:line="560" w:lineRule="exact"/>
              <w:jc w:val="center"/>
              <w:rPr>
                <w:rFonts w:ascii="宋体" w:hAnsi="宋体"/>
                <w:szCs w:val="21"/>
              </w:rPr>
            </w:pPr>
          </w:p>
        </w:tc>
      </w:tr>
      <w:tr w14:paraId="01B0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noWrap w:val="0"/>
            <w:vAlign w:val="center"/>
          </w:tcPr>
          <w:p w14:paraId="012E8569">
            <w:pPr>
              <w:spacing w:line="560" w:lineRule="exact"/>
              <w:jc w:val="center"/>
              <w:rPr>
                <w:rFonts w:ascii="宋体" w:hAnsi="宋体"/>
                <w:i/>
                <w:iCs/>
                <w:szCs w:val="21"/>
              </w:rPr>
            </w:pPr>
          </w:p>
        </w:tc>
        <w:tc>
          <w:tcPr>
            <w:tcW w:w="6058" w:type="dxa"/>
            <w:gridSpan w:val="4"/>
            <w:noWrap w:val="0"/>
            <w:vAlign w:val="center"/>
          </w:tcPr>
          <w:p w14:paraId="1D879C49">
            <w:pPr>
              <w:spacing w:line="560" w:lineRule="exact"/>
              <w:jc w:val="center"/>
              <w:rPr>
                <w:rFonts w:ascii="宋体" w:hAnsi="宋体"/>
                <w:szCs w:val="21"/>
              </w:rPr>
            </w:pPr>
            <w:r>
              <w:rPr>
                <w:rFonts w:hint="eastAsia" w:ascii="宋体" w:hAnsi="宋体"/>
                <w:iCs/>
                <w:szCs w:val="21"/>
              </w:rPr>
              <w:t>合计</w:t>
            </w:r>
          </w:p>
        </w:tc>
        <w:tc>
          <w:tcPr>
            <w:tcW w:w="1344" w:type="dxa"/>
            <w:noWrap w:val="0"/>
            <w:vAlign w:val="center"/>
          </w:tcPr>
          <w:p w14:paraId="1079C70A">
            <w:pPr>
              <w:spacing w:line="560" w:lineRule="exact"/>
              <w:jc w:val="center"/>
              <w:rPr>
                <w:rFonts w:ascii="宋体" w:hAnsi="宋体"/>
                <w:szCs w:val="21"/>
              </w:rPr>
            </w:pPr>
          </w:p>
        </w:tc>
        <w:tc>
          <w:tcPr>
            <w:tcW w:w="1228" w:type="dxa"/>
            <w:noWrap w:val="0"/>
            <w:vAlign w:val="center"/>
          </w:tcPr>
          <w:p w14:paraId="72C54BD9">
            <w:pPr>
              <w:spacing w:line="560" w:lineRule="exact"/>
              <w:jc w:val="center"/>
              <w:rPr>
                <w:rFonts w:ascii="宋体" w:hAnsi="宋体"/>
                <w:szCs w:val="21"/>
              </w:rPr>
            </w:pPr>
          </w:p>
        </w:tc>
      </w:tr>
      <w:tr w14:paraId="64898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6" w:hRule="atLeast"/>
          <w:jc w:val="center"/>
        </w:trPr>
        <w:tc>
          <w:tcPr>
            <w:tcW w:w="2276" w:type="dxa"/>
            <w:gridSpan w:val="2"/>
            <w:noWrap w:val="0"/>
            <w:vAlign w:val="center"/>
          </w:tcPr>
          <w:p w14:paraId="0AE108D0">
            <w:pPr>
              <w:spacing w:line="560" w:lineRule="exact"/>
              <w:jc w:val="center"/>
              <w:rPr>
                <w:rFonts w:ascii="宋体" w:hAnsi="宋体"/>
                <w:b/>
                <w:bCs/>
                <w:szCs w:val="21"/>
              </w:rPr>
            </w:pPr>
            <w:r>
              <w:rPr>
                <w:rFonts w:hint="eastAsia" w:ascii="宋体" w:hAnsi="宋体"/>
                <w:b/>
                <w:bCs/>
                <w:szCs w:val="21"/>
              </w:rPr>
              <w:t>投标报价总计</w:t>
            </w:r>
          </w:p>
        </w:tc>
        <w:tc>
          <w:tcPr>
            <w:tcW w:w="7010" w:type="dxa"/>
            <w:gridSpan w:val="5"/>
            <w:noWrap w:val="0"/>
            <w:vAlign w:val="center"/>
          </w:tcPr>
          <w:p w14:paraId="61CDDC11">
            <w:pPr>
              <w:spacing w:line="560" w:lineRule="exact"/>
              <w:rPr>
                <w:rFonts w:ascii="宋体" w:hAnsi="宋体"/>
                <w:b/>
                <w:bCs/>
                <w:szCs w:val="21"/>
              </w:rPr>
            </w:pPr>
            <w:r>
              <w:rPr>
                <w:rFonts w:hint="eastAsia" w:ascii="宋体" w:hAnsi="宋体"/>
                <w:b/>
                <w:bCs/>
                <w:szCs w:val="21"/>
              </w:rPr>
              <w:t>小写：</w:t>
            </w:r>
            <w:r>
              <w:rPr>
                <w:rFonts w:hint="eastAsia" w:ascii="宋体" w:hAnsi="宋体"/>
                <w:b/>
                <w:bCs/>
                <w:szCs w:val="21"/>
                <w:u w:val="single"/>
              </w:rPr>
              <w:t xml:space="preserve">                          </w:t>
            </w:r>
          </w:p>
          <w:p w14:paraId="711F0812">
            <w:pPr>
              <w:spacing w:line="560" w:lineRule="exact"/>
              <w:rPr>
                <w:rFonts w:ascii="宋体" w:hAnsi="宋体"/>
                <w:b/>
                <w:bCs/>
                <w:szCs w:val="21"/>
              </w:rPr>
            </w:pPr>
            <w:r>
              <w:rPr>
                <w:rFonts w:hint="eastAsia" w:ascii="宋体" w:hAnsi="宋体"/>
                <w:b/>
                <w:bCs/>
                <w:szCs w:val="21"/>
              </w:rPr>
              <w:t>大写：</w:t>
            </w:r>
            <w:r>
              <w:rPr>
                <w:rFonts w:hint="eastAsia" w:ascii="宋体" w:hAnsi="宋体"/>
                <w:b/>
                <w:bCs/>
                <w:szCs w:val="21"/>
                <w:u w:val="single"/>
              </w:rPr>
              <w:t xml:space="preserve">                              </w:t>
            </w:r>
            <w:r>
              <w:rPr>
                <w:rFonts w:ascii="宋体" w:hAnsi="宋体"/>
                <w:b/>
                <w:bCs/>
                <w:szCs w:val="21"/>
              </w:rPr>
              <w:t xml:space="preserve"> </w:t>
            </w:r>
          </w:p>
        </w:tc>
      </w:tr>
    </w:tbl>
    <w:p w14:paraId="18F6A316">
      <w:pPr>
        <w:spacing w:line="360" w:lineRule="auto"/>
        <w:rPr>
          <w:rFonts w:ascii="宋体" w:hAnsi="宋体"/>
          <w:b/>
          <w:szCs w:val="21"/>
        </w:rPr>
      </w:pPr>
      <w:r>
        <w:rPr>
          <w:rFonts w:hint="eastAsia" w:ascii="宋体" w:hAnsi="宋体"/>
          <w:szCs w:val="21"/>
        </w:rPr>
        <w:t>注：投标人应分项进行填报，表中表格行数可自行添加。</w:t>
      </w:r>
      <w:r>
        <w:rPr>
          <w:rFonts w:hint="eastAsia" w:ascii="宋体" w:hAnsi="宋体"/>
          <w:iCs/>
          <w:szCs w:val="21"/>
        </w:rPr>
        <w:t>招标文件中未列出的相关辅助材料和在实施过程中涉及到的其它一切费用应在报价时一并考虑，项目实施过程中不再单独结算。</w:t>
      </w:r>
      <w:r>
        <w:rPr>
          <w:rFonts w:hint="eastAsia" w:ascii="宋体" w:hAnsi="宋体"/>
          <w:b/>
          <w:szCs w:val="21"/>
        </w:rPr>
        <w:t>表中投标报价总计应与对应开标一览表中投标总价一致。</w:t>
      </w:r>
    </w:p>
    <w:p w14:paraId="42D7644C">
      <w:pPr>
        <w:spacing w:line="360" w:lineRule="auto"/>
        <w:rPr>
          <w:rFonts w:ascii="宋体" w:hAnsi="宋体" w:cs="Arial"/>
          <w:sz w:val="24"/>
        </w:rPr>
      </w:pPr>
    </w:p>
    <w:p w14:paraId="1F663BD3">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6B464503">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4B2D0C90">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4F0341AC">
      <w:pPr>
        <w:pStyle w:val="186"/>
        <w:spacing w:before="120" w:after="120"/>
        <w:rPr>
          <w:rFonts w:ascii="Arial" w:hAnsi="Arial" w:cs="Arial"/>
          <w:sz w:val="24"/>
        </w:rPr>
      </w:pPr>
      <w:r>
        <w:rPr>
          <w:rFonts w:hint="eastAsia" w:ascii="Arial" w:hAnsi="Arial" w:cs="Arial"/>
          <w:sz w:val="24"/>
          <w:lang w:val="en-US" w:eastAsia="zh-CN"/>
        </w:rPr>
        <w:t>5</w:t>
      </w:r>
      <w:r>
        <w:rPr>
          <w:rFonts w:hint="eastAsia" w:ascii="Arial" w:hAnsi="Arial" w:cs="Arial"/>
          <w:sz w:val="24"/>
        </w:rPr>
        <w:t>、技术规格偏离表格式</w:t>
      </w:r>
    </w:p>
    <w:p w14:paraId="3698BAC5">
      <w:pPr>
        <w:widowControl/>
        <w:shd w:val="clear" w:color="auto" w:fill="FFFFFF"/>
        <w:spacing w:line="360" w:lineRule="auto"/>
        <w:ind w:left="435"/>
        <w:jc w:val="left"/>
        <w:rPr>
          <w:rFonts w:ascii="宋体" w:hAnsi="宋体"/>
          <w:szCs w:val="21"/>
        </w:rPr>
      </w:pPr>
    </w:p>
    <w:p w14:paraId="3EF95679">
      <w:pPr>
        <w:pStyle w:val="207"/>
        <w:spacing w:before="100" w:beforeAutospacing="1" w:after="100" w:afterAutospacing="1" w:line="360" w:lineRule="auto"/>
        <w:jc w:val="center"/>
        <w:rPr>
          <w:rFonts w:hAnsi="宋体"/>
          <w:b/>
          <w:sz w:val="15"/>
          <w:szCs w:val="21"/>
        </w:rPr>
      </w:pPr>
      <w:r>
        <w:rPr>
          <w:rFonts w:ascii="Arial" w:hAnsi="Arial" w:eastAsia="黑体" w:cs="Arial"/>
          <w:b/>
          <w:sz w:val="32"/>
        </w:rPr>
        <w:t>技术规格偏离表</w:t>
      </w:r>
    </w:p>
    <w:p w14:paraId="6A4EEC57">
      <w:pPr>
        <w:widowControl/>
        <w:shd w:val="clear" w:color="auto" w:fill="FFFFFF"/>
        <w:spacing w:line="360" w:lineRule="auto"/>
        <w:jc w:val="left"/>
        <w:rPr>
          <w:rFonts w:hint="eastAsia" w:ascii="宋体" w:hAnsi="宋体" w:cs="Arial"/>
          <w:sz w:val="24"/>
          <w:u w:val="single"/>
        </w:rPr>
      </w:pPr>
      <w:r>
        <w:rPr>
          <w:rFonts w:hint="eastAsia" w:ascii="宋体" w:hAnsi="宋体" w:cs="Arial"/>
          <w:sz w:val="24"/>
        </w:rPr>
        <w:t>项目</w:t>
      </w:r>
      <w:r>
        <w:rPr>
          <w:rFonts w:ascii="宋体" w:hAnsi="宋体" w:cs="Arial"/>
          <w:sz w:val="24"/>
        </w:rPr>
        <w:t>编号：</w:t>
      </w:r>
    </w:p>
    <w:tbl>
      <w:tblPr>
        <w:tblStyle w:val="31"/>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2"/>
        <w:gridCol w:w="1444"/>
        <w:gridCol w:w="2240"/>
        <w:gridCol w:w="2400"/>
        <w:gridCol w:w="1563"/>
      </w:tblGrid>
      <w:tr w14:paraId="26862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1102" w:type="dxa"/>
            <w:noWrap w:val="0"/>
            <w:vAlign w:val="center"/>
          </w:tcPr>
          <w:p w14:paraId="1DC99525">
            <w:pPr>
              <w:jc w:val="center"/>
              <w:rPr>
                <w:rFonts w:ascii="Arial" w:hAnsi="Arial" w:cs="Arial"/>
                <w:szCs w:val="21"/>
              </w:rPr>
            </w:pPr>
            <w:r>
              <w:rPr>
                <w:rFonts w:ascii="Arial" w:hAnsi="Arial" w:cs="Arial"/>
                <w:szCs w:val="21"/>
              </w:rPr>
              <w:t>序号</w:t>
            </w:r>
          </w:p>
        </w:tc>
        <w:tc>
          <w:tcPr>
            <w:tcW w:w="1444" w:type="dxa"/>
            <w:noWrap w:val="0"/>
            <w:vAlign w:val="bottom"/>
          </w:tcPr>
          <w:p w14:paraId="612F79BA">
            <w:pPr>
              <w:jc w:val="center"/>
              <w:rPr>
                <w:rFonts w:ascii="Arial" w:hAnsi="Arial" w:cs="Arial"/>
                <w:szCs w:val="21"/>
              </w:rPr>
            </w:pPr>
            <w:r>
              <w:rPr>
                <w:rFonts w:ascii="Arial" w:hAnsi="Arial" w:cs="Arial"/>
                <w:szCs w:val="21"/>
              </w:rPr>
              <w:t>招标文件</w:t>
            </w:r>
          </w:p>
          <w:p w14:paraId="0D245FA9">
            <w:pPr>
              <w:jc w:val="center"/>
              <w:rPr>
                <w:rFonts w:ascii="Arial" w:hAnsi="Arial" w:cs="Arial"/>
                <w:szCs w:val="21"/>
              </w:rPr>
            </w:pPr>
            <w:r>
              <w:rPr>
                <w:rFonts w:ascii="Arial" w:hAnsi="Arial" w:cs="Arial"/>
                <w:szCs w:val="21"/>
              </w:rPr>
              <w:t>条目号</w:t>
            </w:r>
          </w:p>
        </w:tc>
        <w:tc>
          <w:tcPr>
            <w:tcW w:w="2240" w:type="dxa"/>
            <w:noWrap w:val="0"/>
            <w:vAlign w:val="bottom"/>
          </w:tcPr>
          <w:p w14:paraId="6FDEE52D">
            <w:pPr>
              <w:jc w:val="center"/>
              <w:rPr>
                <w:rFonts w:ascii="Arial" w:hAnsi="Arial" w:cs="Arial"/>
                <w:szCs w:val="21"/>
              </w:rPr>
            </w:pPr>
            <w:r>
              <w:rPr>
                <w:rFonts w:ascii="Arial" w:hAnsi="Arial" w:cs="Arial"/>
                <w:szCs w:val="21"/>
              </w:rPr>
              <w:t>招标文件的</w:t>
            </w:r>
          </w:p>
          <w:p w14:paraId="2C6F442D">
            <w:pPr>
              <w:jc w:val="center"/>
              <w:rPr>
                <w:rFonts w:ascii="Arial" w:hAnsi="Arial" w:cs="Arial"/>
                <w:szCs w:val="21"/>
              </w:rPr>
            </w:pPr>
            <w:r>
              <w:rPr>
                <w:rFonts w:hint="eastAsia" w:ascii="Arial" w:hAnsi="Arial" w:cs="Arial"/>
                <w:szCs w:val="21"/>
              </w:rPr>
              <w:t>要求</w:t>
            </w:r>
          </w:p>
        </w:tc>
        <w:tc>
          <w:tcPr>
            <w:tcW w:w="2400" w:type="dxa"/>
            <w:noWrap w:val="0"/>
            <w:vAlign w:val="bottom"/>
          </w:tcPr>
          <w:p w14:paraId="3BC140F3">
            <w:pPr>
              <w:jc w:val="center"/>
              <w:rPr>
                <w:rFonts w:ascii="Arial" w:hAnsi="Arial" w:cs="Arial"/>
                <w:szCs w:val="21"/>
              </w:rPr>
            </w:pPr>
            <w:r>
              <w:rPr>
                <w:rFonts w:ascii="Arial" w:hAnsi="Arial" w:cs="Arial"/>
                <w:szCs w:val="21"/>
              </w:rPr>
              <w:t>投标文件的</w:t>
            </w:r>
          </w:p>
          <w:p w14:paraId="3F4F17D3">
            <w:pPr>
              <w:jc w:val="center"/>
              <w:rPr>
                <w:rFonts w:hint="eastAsia" w:ascii="Arial" w:hAnsi="Arial" w:cs="Arial"/>
                <w:szCs w:val="21"/>
              </w:rPr>
            </w:pPr>
            <w:r>
              <w:rPr>
                <w:rFonts w:hint="eastAsia" w:ascii="Arial" w:hAnsi="Arial" w:cs="Arial"/>
                <w:szCs w:val="21"/>
              </w:rPr>
              <w:t>响应</w:t>
            </w:r>
          </w:p>
        </w:tc>
        <w:tc>
          <w:tcPr>
            <w:tcW w:w="1563" w:type="dxa"/>
            <w:noWrap w:val="0"/>
            <w:vAlign w:val="center"/>
          </w:tcPr>
          <w:p w14:paraId="2AAA9C37">
            <w:pPr>
              <w:jc w:val="center"/>
              <w:rPr>
                <w:rFonts w:ascii="Arial" w:hAnsi="Arial" w:cs="Arial"/>
                <w:szCs w:val="21"/>
              </w:rPr>
            </w:pPr>
            <w:r>
              <w:rPr>
                <w:rFonts w:hint="eastAsia" w:ascii="Arial" w:hAnsi="Arial" w:cs="Arial"/>
                <w:szCs w:val="21"/>
              </w:rPr>
              <w:t>偏离</w:t>
            </w:r>
            <w:r>
              <w:rPr>
                <w:rFonts w:ascii="Arial" w:hAnsi="Arial" w:cs="Arial"/>
                <w:szCs w:val="21"/>
              </w:rPr>
              <w:t>说明</w:t>
            </w:r>
          </w:p>
        </w:tc>
      </w:tr>
      <w:tr w14:paraId="1E867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1102" w:type="dxa"/>
            <w:noWrap w:val="0"/>
            <w:vAlign w:val="top"/>
          </w:tcPr>
          <w:p w14:paraId="51B3508D">
            <w:pPr>
              <w:rPr>
                <w:rFonts w:ascii="Arial" w:hAnsi="Arial" w:cs="Arial"/>
                <w:szCs w:val="21"/>
              </w:rPr>
            </w:pPr>
          </w:p>
        </w:tc>
        <w:tc>
          <w:tcPr>
            <w:tcW w:w="1444" w:type="dxa"/>
            <w:noWrap w:val="0"/>
            <w:vAlign w:val="top"/>
          </w:tcPr>
          <w:p w14:paraId="156D1A6A">
            <w:pPr>
              <w:rPr>
                <w:rFonts w:ascii="Arial" w:hAnsi="Arial" w:cs="Arial"/>
                <w:szCs w:val="21"/>
              </w:rPr>
            </w:pPr>
          </w:p>
        </w:tc>
        <w:tc>
          <w:tcPr>
            <w:tcW w:w="2240" w:type="dxa"/>
            <w:noWrap w:val="0"/>
            <w:vAlign w:val="top"/>
          </w:tcPr>
          <w:p w14:paraId="26A31198">
            <w:pPr>
              <w:rPr>
                <w:rFonts w:ascii="Arial" w:hAnsi="Arial" w:cs="Arial"/>
                <w:szCs w:val="21"/>
              </w:rPr>
            </w:pPr>
          </w:p>
        </w:tc>
        <w:tc>
          <w:tcPr>
            <w:tcW w:w="2400" w:type="dxa"/>
            <w:noWrap w:val="0"/>
            <w:vAlign w:val="top"/>
          </w:tcPr>
          <w:p w14:paraId="2970CC65">
            <w:pPr>
              <w:rPr>
                <w:rFonts w:ascii="Arial" w:hAnsi="Arial" w:cs="Arial"/>
                <w:szCs w:val="21"/>
              </w:rPr>
            </w:pPr>
          </w:p>
        </w:tc>
        <w:tc>
          <w:tcPr>
            <w:tcW w:w="1563" w:type="dxa"/>
            <w:noWrap w:val="0"/>
            <w:vAlign w:val="top"/>
          </w:tcPr>
          <w:p w14:paraId="5DB40433">
            <w:pPr>
              <w:rPr>
                <w:rFonts w:ascii="Arial" w:hAnsi="Arial" w:cs="Arial"/>
                <w:szCs w:val="21"/>
              </w:rPr>
            </w:pPr>
          </w:p>
        </w:tc>
      </w:tr>
      <w:tr w14:paraId="147D6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02" w:type="dxa"/>
            <w:noWrap w:val="0"/>
            <w:vAlign w:val="top"/>
          </w:tcPr>
          <w:p w14:paraId="247B9048">
            <w:pPr>
              <w:rPr>
                <w:rFonts w:ascii="Arial" w:hAnsi="Arial" w:cs="Arial"/>
                <w:szCs w:val="21"/>
              </w:rPr>
            </w:pPr>
          </w:p>
        </w:tc>
        <w:tc>
          <w:tcPr>
            <w:tcW w:w="1444" w:type="dxa"/>
            <w:noWrap w:val="0"/>
            <w:vAlign w:val="top"/>
          </w:tcPr>
          <w:p w14:paraId="78486B00">
            <w:pPr>
              <w:rPr>
                <w:rFonts w:ascii="Arial" w:hAnsi="Arial" w:cs="Arial"/>
                <w:szCs w:val="21"/>
              </w:rPr>
            </w:pPr>
          </w:p>
        </w:tc>
        <w:tc>
          <w:tcPr>
            <w:tcW w:w="2240" w:type="dxa"/>
            <w:noWrap w:val="0"/>
            <w:vAlign w:val="top"/>
          </w:tcPr>
          <w:p w14:paraId="4B13EB93">
            <w:pPr>
              <w:rPr>
                <w:rFonts w:ascii="Arial" w:hAnsi="Arial" w:cs="Arial"/>
                <w:szCs w:val="21"/>
              </w:rPr>
            </w:pPr>
          </w:p>
        </w:tc>
        <w:tc>
          <w:tcPr>
            <w:tcW w:w="2400" w:type="dxa"/>
            <w:noWrap w:val="0"/>
            <w:vAlign w:val="top"/>
          </w:tcPr>
          <w:p w14:paraId="0FEA38E6">
            <w:pPr>
              <w:rPr>
                <w:rFonts w:ascii="Arial" w:hAnsi="Arial" w:cs="Arial"/>
                <w:szCs w:val="21"/>
              </w:rPr>
            </w:pPr>
          </w:p>
        </w:tc>
        <w:tc>
          <w:tcPr>
            <w:tcW w:w="1563" w:type="dxa"/>
            <w:noWrap w:val="0"/>
            <w:vAlign w:val="top"/>
          </w:tcPr>
          <w:p w14:paraId="321D7EB6">
            <w:pPr>
              <w:rPr>
                <w:rFonts w:ascii="Arial" w:hAnsi="Arial" w:cs="Arial"/>
                <w:szCs w:val="21"/>
              </w:rPr>
            </w:pPr>
          </w:p>
        </w:tc>
      </w:tr>
      <w:tr w14:paraId="487EA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102" w:type="dxa"/>
            <w:noWrap w:val="0"/>
            <w:vAlign w:val="top"/>
          </w:tcPr>
          <w:p w14:paraId="78426230">
            <w:pPr>
              <w:rPr>
                <w:rFonts w:ascii="Arial" w:hAnsi="Arial" w:cs="Arial"/>
                <w:szCs w:val="21"/>
              </w:rPr>
            </w:pPr>
          </w:p>
        </w:tc>
        <w:tc>
          <w:tcPr>
            <w:tcW w:w="1444" w:type="dxa"/>
            <w:noWrap w:val="0"/>
            <w:vAlign w:val="top"/>
          </w:tcPr>
          <w:p w14:paraId="70B567AC">
            <w:pPr>
              <w:rPr>
                <w:rFonts w:ascii="Arial" w:hAnsi="Arial" w:cs="Arial"/>
                <w:szCs w:val="21"/>
              </w:rPr>
            </w:pPr>
          </w:p>
        </w:tc>
        <w:tc>
          <w:tcPr>
            <w:tcW w:w="2240" w:type="dxa"/>
            <w:noWrap w:val="0"/>
            <w:vAlign w:val="top"/>
          </w:tcPr>
          <w:p w14:paraId="28E0F6C1">
            <w:pPr>
              <w:rPr>
                <w:rFonts w:ascii="Arial" w:hAnsi="Arial" w:cs="Arial"/>
                <w:szCs w:val="21"/>
              </w:rPr>
            </w:pPr>
          </w:p>
        </w:tc>
        <w:tc>
          <w:tcPr>
            <w:tcW w:w="2400" w:type="dxa"/>
            <w:noWrap w:val="0"/>
            <w:vAlign w:val="top"/>
          </w:tcPr>
          <w:p w14:paraId="04ED8123">
            <w:pPr>
              <w:rPr>
                <w:rFonts w:ascii="Arial" w:hAnsi="Arial" w:cs="Arial"/>
                <w:szCs w:val="21"/>
              </w:rPr>
            </w:pPr>
          </w:p>
        </w:tc>
        <w:tc>
          <w:tcPr>
            <w:tcW w:w="1563" w:type="dxa"/>
            <w:noWrap w:val="0"/>
            <w:vAlign w:val="top"/>
          </w:tcPr>
          <w:p w14:paraId="0E80EF03">
            <w:pPr>
              <w:rPr>
                <w:rFonts w:ascii="Arial" w:hAnsi="Arial" w:cs="Arial"/>
                <w:szCs w:val="21"/>
              </w:rPr>
            </w:pPr>
          </w:p>
        </w:tc>
      </w:tr>
      <w:tr w14:paraId="23C13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1102" w:type="dxa"/>
            <w:noWrap w:val="0"/>
            <w:vAlign w:val="top"/>
          </w:tcPr>
          <w:p w14:paraId="2BD3C7A8">
            <w:pPr>
              <w:rPr>
                <w:rFonts w:ascii="Arial" w:hAnsi="Arial" w:cs="Arial"/>
                <w:szCs w:val="21"/>
              </w:rPr>
            </w:pPr>
          </w:p>
        </w:tc>
        <w:tc>
          <w:tcPr>
            <w:tcW w:w="1444" w:type="dxa"/>
            <w:noWrap w:val="0"/>
            <w:vAlign w:val="top"/>
          </w:tcPr>
          <w:p w14:paraId="515A8457">
            <w:pPr>
              <w:rPr>
                <w:rFonts w:ascii="Arial" w:hAnsi="Arial" w:cs="Arial"/>
                <w:szCs w:val="21"/>
              </w:rPr>
            </w:pPr>
          </w:p>
        </w:tc>
        <w:tc>
          <w:tcPr>
            <w:tcW w:w="2240" w:type="dxa"/>
            <w:noWrap w:val="0"/>
            <w:vAlign w:val="top"/>
          </w:tcPr>
          <w:p w14:paraId="6A34B492">
            <w:pPr>
              <w:rPr>
                <w:rFonts w:ascii="Arial" w:hAnsi="Arial" w:cs="Arial"/>
                <w:szCs w:val="21"/>
              </w:rPr>
            </w:pPr>
          </w:p>
        </w:tc>
        <w:tc>
          <w:tcPr>
            <w:tcW w:w="2400" w:type="dxa"/>
            <w:noWrap w:val="0"/>
            <w:vAlign w:val="top"/>
          </w:tcPr>
          <w:p w14:paraId="24982381">
            <w:pPr>
              <w:rPr>
                <w:rFonts w:ascii="Arial" w:hAnsi="Arial" w:cs="Arial"/>
                <w:szCs w:val="21"/>
              </w:rPr>
            </w:pPr>
          </w:p>
        </w:tc>
        <w:tc>
          <w:tcPr>
            <w:tcW w:w="1563" w:type="dxa"/>
            <w:noWrap w:val="0"/>
            <w:vAlign w:val="top"/>
          </w:tcPr>
          <w:p w14:paraId="3A895CF9">
            <w:pPr>
              <w:rPr>
                <w:rFonts w:ascii="Arial" w:hAnsi="Arial" w:cs="Arial"/>
                <w:szCs w:val="21"/>
              </w:rPr>
            </w:pPr>
          </w:p>
        </w:tc>
      </w:tr>
      <w:tr w14:paraId="35B78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02" w:type="dxa"/>
            <w:noWrap w:val="0"/>
            <w:vAlign w:val="top"/>
          </w:tcPr>
          <w:p w14:paraId="4A7A8DEB">
            <w:pPr>
              <w:rPr>
                <w:rFonts w:ascii="Arial" w:hAnsi="Arial" w:cs="Arial"/>
                <w:szCs w:val="21"/>
              </w:rPr>
            </w:pPr>
          </w:p>
        </w:tc>
        <w:tc>
          <w:tcPr>
            <w:tcW w:w="1444" w:type="dxa"/>
            <w:noWrap w:val="0"/>
            <w:vAlign w:val="top"/>
          </w:tcPr>
          <w:p w14:paraId="04D338CE">
            <w:pPr>
              <w:rPr>
                <w:rFonts w:ascii="Arial" w:hAnsi="Arial" w:cs="Arial"/>
                <w:szCs w:val="21"/>
              </w:rPr>
            </w:pPr>
          </w:p>
        </w:tc>
        <w:tc>
          <w:tcPr>
            <w:tcW w:w="2240" w:type="dxa"/>
            <w:noWrap w:val="0"/>
            <w:vAlign w:val="top"/>
          </w:tcPr>
          <w:p w14:paraId="77979036">
            <w:pPr>
              <w:rPr>
                <w:rFonts w:ascii="Arial" w:hAnsi="Arial" w:cs="Arial"/>
                <w:szCs w:val="21"/>
              </w:rPr>
            </w:pPr>
          </w:p>
        </w:tc>
        <w:tc>
          <w:tcPr>
            <w:tcW w:w="2400" w:type="dxa"/>
            <w:noWrap w:val="0"/>
            <w:vAlign w:val="top"/>
          </w:tcPr>
          <w:p w14:paraId="591E7133">
            <w:pPr>
              <w:rPr>
                <w:rFonts w:ascii="Arial" w:hAnsi="Arial" w:cs="Arial"/>
                <w:szCs w:val="21"/>
              </w:rPr>
            </w:pPr>
          </w:p>
        </w:tc>
        <w:tc>
          <w:tcPr>
            <w:tcW w:w="1563" w:type="dxa"/>
            <w:noWrap w:val="0"/>
            <w:vAlign w:val="top"/>
          </w:tcPr>
          <w:p w14:paraId="54376372">
            <w:pPr>
              <w:rPr>
                <w:rFonts w:ascii="Arial" w:hAnsi="Arial" w:cs="Arial"/>
                <w:szCs w:val="21"/>
              </w:rPr>
            </w:pPr>
          </w:p>
        </w:tc>
      </w:tr>
      <w:tr w14:paraId="39116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02" w:type="dxa"/>
            <w:noWrap w:val="0"/>
            <w:vAlign w:val="top"/>
          </w:tcPr>
          <w:p w14:paraId="5F61073D">
            <w:pPr>
              <w:rPr>
                <w:rFonts w:ascii="Arial" w:hAnsi="Arial" w:cs="Arial"/>
                <w:szCs w:val="21"/>
              </w:rPr>
            </w:pPr>
          </w:p>
        </w:tc>
        <w:tc>
          <w:tcPr>
            <w:tcW w:w="1444" w:type="dxa"/>
            <w:noWrap w:val="0"/>
            <w:vAlign w:val="top"/>
          </w:tcPr>
          <w:p w14:paraId="17E06D08">
            <w:pPr>
              <w:rPr>
                <w:rFonts w:ascii="Arial" w:hAnsi="Arial" w:cs="Arial"/>
                <w:szCs w:val="21"/>
              </w:rPr>
            </w:pPr>
          </w:p>
        </w:tc>
        <w:tc>
          <w:tcPr>
            <w:tcW w:w="2240" w:type="dxa"/>
            <w:noWrap w:val="0"/>
            <w:vAlign w:val="top"/>
          </w:tcPr>
          <w:p w14:paraId="5983AA53">
            <w:pPr>
              <w:rPr>
                <w:rFonts w:ascii="Arial" w:hAnsi="Arial" w:cs="Arial"/>
                <w:szCs w:val="21"/>
              </w:rPr>
            </w:pPr>
          </w:p>
        </w:tc>
        <w:tc>
          <w:tcPr>
            <w:tcW w:w="2400" w:type="dxa"/>
            <w:noWrap w:val="0"/>
            <w:vAlign w:val="top"/>
          </w:tcPr>
          <w:p w14:paraId="06662288">
            <w:pPr>
              <w:rPr>
                <w:rFonts w:ascii="Arial" w:hAnsi="Arial" w:cs="Arial"/>
                <w:szCs w:val="21"/>
              </w:rPr>
            </w:pPr>
          </w:p>
        </w:tc>
        <w:tc>
          <w:tcPr>
            <w:tcW w:w="1563" w:type="dxa"/>
            <w:noWrap w:val="0"/>
            <w:vAlign w:val="top"/>
          </w:tcPr>
          <w:p w14:paraId="7973E663">
            <w:pPr>
              <w:rPr>
                <w:rFonts w:ascii="Arial" w:hAnsi="Arial" w:cs="Arial"/>
                <w:szCs w:val="21"/>
              </w:rPr>
            </w:pPr>
          </w:p>
        </w:tc>
      </w:tr>
      <w:tr w14:paraId="50B7D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02" w:type="dxa"/>
            <w:noWrap w:val="0"/>
            <w:vAlign w:val="top"/>
          </w:tcPr>
          <w:p w14:paraId="038ADD5E">
            <w:pPr>
              <w:rPr>
                <w:rFonts w:ascii="Arial" w:hAnsi="Arial" w:cs="Arial"/>
                <w:szCs w:val="21"/>
              </w:rPr>
            </w:pPr>
          </w:p>
        </w:tc>
        <w:tc>
          <w:tcPr>
            <w:tcW w:w="1444" w:type="dxa"/>
            <w:noWrap w:val="0"/>
            <w:vAlign w:val="top"/>
          </w:tcPr>
          <w:p w14:paraId="7B855A2C">
            <w:pPr>
              <w:rPr>
                <w:rFonts w:ascii="Arial" w:hAnsi="Arial" w:cs="Arial"/>
                <w:szCs w:val="21"/>
              </w:rPr>
            </w:pPr>
          </w:p>
        </w:tc>
        <w:tc>
          <w:tcPr>
            <w:tcW w:w="2240" w:type="dxa"/>
            <w:noWrap w:val="0"/>
            <w:vAlign w:val="top"/>
          </w:tcPr>
          <w:p w14:paraId="78F70892">
            <w:pPr>
              <w:rPr>
                <w:rFonts w:ascii="Arial" w:hAnsi="Arial" w:cs="Arial"/>
                <w:szCs w:val="21"/>
              </w:rPr>
            </w:pPr>
          </w:p>
        </w:tc>
        <w:tc>
          <w:tcPr>
            <w:tcW w:w="2400" w:type="dxa"/>
            <w:noWrap w:val="0"/>
            <w:vAlign w:val="top"/>
          </w:tcPr>
          <w:p w14:paraId="11EEE69E">
            <w:pPr>
              <w:rPr>
                <w:rFonts w:ascii="Arial" w:hAnsi="Arial" w:cs="Arial"/>
                <w:szCs w:val="21"/>
              </w:rPr>
            </w:pPr>
          </w:p>
        </w:tc>
        <w:tc>
          <w:tcPr>
            <w:tcW w:w="1563" w:type="dxa"/>
            <w:noWrap w:val="0"/>
            <w:vAlign w:val="top"/>
          </w:tcPr>
          <w:p w14:paraId="33CDF7F3">
            <w:pPr>
              <w:rPr>
                <w:rFonts w:ascii="Arial" w:hAnsi="Arial" w:cs="Arial"/>
                <w:szCs w:val="21"/>
              </w:rPr>
            </w:pPr>
          </w:p>
        </w:tc>
      </w:tr>
      <w:tr w14:paraId="576E8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02" w:type="dxa"/>
            <w:noWrap w:val="0"/>
            <w:vAlign w:val="top"/>
          </w:tcPr>
          <w:p w14:paraId="3CEC447E">
            <w:pPr>
              <w:rPr>
                <w:rFonts w:ascii="Arial" w:hAnsi="Arial" w:cs="Arial"/>
                <w:szCs w:val="21"/>
              </w:rPr>
            </w:pPr>
          </w:p>
        </w:tc>
        <w:tc>
          <w:tcPr>
            <w:tcW w:w="1444" w:type="dxa"/>
            <w:noWrap w:val="0"/>
            <w:vAlign w:val="top"/>
          </w:tcPr>
          <w:p w14:paraId="2A457174">
            <w:pPr>
              <w:rPr>
                <w:rFonts w:ascii="Arial" w:hAnsi="Arial" w:cs="Arial"/>
                <w:szCs w:val="21"/>
              </w:rPr>
            </w:pPr>
          </w:p>
        </w:tc>
        <w:tc>
          <w:tcPr>
            <w:tcW w:w="2240" w:type="dxa"/>
            <w:noWrap w:val="0"/>
            <w:vAlign w:val="top"/>
          </w:tcPr>
          <w:p w14:paraId="0137AE6F">
            <w:pPr>
              <w:rPr>
                <w:rFonts w:ascii="Arial" w:hAnsi="Arial" w:cs="Arial"/>
                <w:szCs w:val="21"/>
              </w:rPr>
            </w:pPr>
          </w:p>
        </w:tc>
        <w:tc>
          <w:tcPr>
            <w:tcW w:w="2400" w:type="dxa"/>
            <w:noWrap w:val="0"/>
            <w:vAlign w:val="top"/>
          </w:tcPr>
          <w:p w14:paraId="67663C3F">
            <w:pPr>
              <w:rPr>
                <w:rFonts w:ascii="Arial" w:hAnsi="Arial" w:cs="Arial"/>
                <w:szCs w:val="21"/>
              </w:rPr>
            </w:pPr>
          </w:p>
        </w:tc>
        <w:tc>
          <w:tcPr>
            <w:tcW w:w="1563" w:type="dxa"/>
            <w:noWrap w:val="0"/>
            <w:vAlign w:val="top"/>
          </w:tcPr>
          <w:p w14:paraId="1B57FD11">
            <w:pPr>
              <w:rPr>
                <w:rFonts w:ascii="Arial" w:hAnsi="Arial" w:cs="Arial"/>
                <w:szCs w:val="21"/>
              </w:rPr>
            </w:pPr>
          </w:p>
        </w:tc>
      </w:tr>
    </w:tbl>
    <w:p w14:paraId="3C001F1B">
      <w:pPr>
        <w:widowControl/>
        <w:shd w:val="clear" w:color="auto" w:fill="FFFFFF"/>
        <w:spacing w:line="360" w:lineRule="auto"/>
        <w:jc w:val="left"/>
        <w:rPr>
          <w:rFonts w:ascii="宋体" w:hAnsi="宋体"/>
          <w:szCs w:val="21"/>
        </w:rPr>
      </w:pPr>
    </w:p>
    <w:p w14:paraId="02A5ABA0">
      <w:pPr>
        <w:widowControl/>
        <w:shd w:val="clear" w:color="auto" w:fill="FFFFFF"/>
        <w:spacing w:line="360" w:lineRule="auto"/>
        <w:jc w:val="left"/>
        <w:rPr>
          <w:rFonts w:ascii="宋体" w:hAnsi="宋体"/>
          <w:szCs w:val="21"/>
        </w:rPr>
      </w:pPr>
      <w:r>
        <w:rPr>
          <w:rFonts w:hint="eastAsia" w:ascii="宋体" w:hAnsi="宋体"/>
          <w:szCs w:val="21"/>
        </w:rPr>
        <w:t>说明：</w:t>
      </w:r>
    </w:p>
    <w:p w14:paraId="0F2C6291">
      <w:pPr>
        <w:widowControl/>
        <w:shd w:val="clear" w:color="auto" w:fill="FFFFFF"/>
        <w:spacing w:line="360" w:lineRule="auto"/>
        <w:jc w:val="left"/>
        <w:rPr>
          <w:rFonts w:ascii="宋体" w:hAnsi="宋体"/>
          <w:szCs w:val="21"/>
        </w:rPr>
      </w:pPr>
      <w:r>
        <w:rPr>
          <w:rFonts w:ascii="宋体" w:hAnsi="宋体"/>
          <w:szCs w:val="21"/>
        </w:rPr>
        <w:t>如果行数不够，请自行增加。</w:t>
      </w:r>
    </w:p>
    <w:p w14:paraId="71C43331">
      <w:pPr>
        <w:widowControl/>
        <w:shd w:val="clear" w:color="auto" w:fill="FFFFFF"/>
        <w:spacing w:line="360" w:lineRule="auto"/>
        <w:jc w:val="left"/>
        <w:rPr>
          <w:rFonts w:ascii="宋体" w:hAnsi="宋体"/>
          <w:szCs w:val="21"/>
        </w:rPr>
      </w:pPr>
    </w:p>
    <w:p w14:paraId="542370E3">
      <w:pPr>
        <w:widowControl/>
        <w:shd w:val="clear" w:color="auto" w:fill="FFFFFF"/>
        <w:spacing w:line="360" w:lineRule="auto"/>
        <w:jc w:val="left"/>
        <w:rPr>
          <w:rFonts w:hint="eastAsia" w:ascii="宋体" w:hAnsi="宋体"/>
          <w:szCs w:val="21"/>
        </w:rPr>
      </w:pPr>
    </w:p>
    <w:p w14:paraId="12273212">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06432FD9">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15E11AB3">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537C1EF3">
      <w:pPr>
        <w:spacing w:line="400" w:lineRule="exact"/>
        <w:ind w:left="562"/>
        <w:rPr>
          <w:rFonts w:ascii="宋体" w:hAnsi="宋体"/>
          <w:b/>
          <w:szCs w:val="21"/>
        </w:rPr>
      </w:pPr>
    </w:p>
    <w:p w14:paraId="190FD275">
      <w:pPr>
        <w:pStyle w:val="186"/>
        <w:spacing w:before="120" w:after="120"/>
        <w:rPr>
          <w:rFonts w:ascii="Arial" w:hAnsi="Arial" w:cs="Arial"/>
          <w:sz w:val="24"/>
        </w:rPr>
      </w:pPr>
      <w:r>
        <w:rPr>
          <w:rFonts w:ascii="宋体" w:hAnsi="宋体" w:cs="Arial"/>
          <w:sz w:val="24"/>
          <w:u w:val="single"/>
        </w:rPr>
        <w:br w:type="page" w:clear="all"/>
      </w:r>
      <w:r>
        <w:rPr>
          <w:rFonts w:hint="eastAsia" w:ascii="Arial" w:hAnsi="Arial" w:cs="Arial"/>
          <w:sz w:val="24"/>
          <w:lang w:val="en-US" w:eastAsia="zh-CN"/>
        </w:rPr>
        <w:t>6</w:t>
      </w:r>
      <w:r>
        <w:rPr>
          <w:rFonts w:hint="eastAsia" w:ascii="Arial" w:hAnsi="Arial" w:cs="Arial"/>
          <w:sz w:val="24"/>
        </w:rPr>
        <w:t>、商务条款偏离表格式</w:t>
      </w:r>
    </w:p>
    <w:p w14:paraId="4DC4974D">
      <w:pPr>
        <w:widowControl/>
        <w:shd w:val="clear" w:color="auto" w:fill="FFFFFF"/>
        <w:spacing w:line="360" w:lineRule="auto"/>
        <w:ind w:left="435"/>
        <w:jc w:val="left"/>
        <w:rPr>
          <w:rFonts w:ascii="宋体" w:hAnsi="宋体"/>
          <w:szCs w:val="21"/>
        </w:rPr>
      </w:pPr>
    </w:p>
    <w:p w14:paraId="30A18F94">
      <w:pPr>
        <w:pStyle w:val="207"/>
        <w:spacing w:before="100" w:beforeAutospacing="1" w:after="100" w:afterAutospacing="1" w:line="360" w:lineRule="auto"/>
        <w:jc w:val="center"/>
        <w:rPr>
          <w:rFonts w:ascii="Arial" w:hAnsi="Arial" w:eastAsia="黑体" w:cs="Arial"/>
          <w:b/>
          <w:sz w:val="32"/>
        </w:rPr>
      </w:pPr>
      <w:r>
        <w:rPr>
          <w:rFonts w:ascii="Arial" w:hAnsi="Arial" w:eastAsia="黑体" w:cs="Arial"/>
          <w:b/>
          <w:sz w:val="32"/>
        </w:rPr>
        <w:t>商务条款偏离表</w:t>
      </w:r>
    </w:p>
    <w:p w14:paraId="6FC32EE1">
      <w:pPr>
        <w:widowControl/>
        <w:shd w:val="clear" w:color="auto" w:fill="FFFFFF"/>
        <w:spacing w:line="360" w:lineRule="auto"/>
        <w:jc w:val="left"/>
        <w:rPr>
          <w:rFonts w:hint="eastAsia" w:ascii="宋体" w:hAnsi="宋体" w:cs="Arial"/>
          <w:sz w:val="24"/>
          <w:u w:val="single"/>
        </w:rPr>
      </w:pPr>
      <w:r>
        <w:rPr>
          <w:rFonts w:hint="eastAsia" w:ascii="宋体" w:hAnsi="宋体" w:cs="Arial"/>
          <w:sz w:val="24"/>
        </w:rPr>
        <w:t>项目</w:t>
      </w:r>
      <w:r>
        <w:rPr>
          <w:rFonts w:ascii="宋体" w:hAnsi="宋体" w:cs="Arial"/>
          <w:sz w:val="24"/>
        </w:rPr>
        <w:t>编号：</w:t>
      </w:r>
    </w:p>
    <w:tbl>
      <w:tblPr>
        <w:tblStyle w:val="31"/>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2"/>
        <w:gridCol w:w="1444"/>
        <w:gridCol w:w="2240"/>
        <w:gridCol w:w="2400"/>
        <w:gridCol w:w="1563"/>
      </w:tblGrid>
      <w:tr w14:paraId="12B3F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102" w:type="dxa"/>
            <w:noWrap w:val="0"/>
            <w:vAlign w:val="center"/>
          </w:tcPr>
          <w:p w14:paraId="40140358">
            <w:pPr>
              <w:jc w:val="center"/>
              <w:rPr>
                <w:rFonts w:ascii="Arial" w:hAnsi="Arial" w:cs="Arial"/>
                <w:szCs w:val="21"/>
              </w:rPr>
            </w:pPr>
            <w:r>
              <w:rPr>
                <w:rFonts w:ascii="Arial" w:hAnsi="Arial" w:cs="Arial"/>
                <w:szCs w:val="21"/>
              </w:rPr>
              <w:t>序号</w:t>
            </w:r>
          </w:p>
        </w:tc>
        <w:tc>
          <w:tcPr>
            <w:tcW w:w="1444" w:type="dxa"/>
            <w:noWrap w:val="0"/>
            <w:vAlign w:val="bottom"/>
          </w:tcPr>
          <w:p w14:paraId="07C60082">
            <w:pPr>
              <w:jc w:val="center"/>
              <w:rPr>
                <w:rFonts w:ascii="Arial" w:hAnsi="Arial" w:cs="Arial"/>
                <w:szCs w:val="21"/>
              </w:rPr>
            </w:pPr>
            <w:r>
              <w:rPr>
                <w:rFonts w:ascii="Arial" w:hAnsi="Arial" w:cs="Arial"/>
                <w:szCs w:val="21"/>
              </w:rPr>
              <w:t>招标文件</w:t>
            </w:r>
          </w:p>
          <w:p w14:paraId="53B4A63B">
            <w:pPr>
              <w:jc w:val="center"/>
              <w:rPr>
                <w:rFonts w:ascii="Arial" w:hAnsi="Arial" w:cs="Arial"/>
                <w:szCs w:val="21"/>
              </w:rPr>
            </w:pPr>
            <w:r>
              <w:rPr>
                <w:rFonts w:ascii="Arial" w:hAnsi="Arial" w:cs="Arial"/>
                <w:szCs w:val="21"/>
              </w:rPr>
              <w:t>条目号</w:t>
            </w:r>
          </w:p>
        </w:tc>
        <w:tc>
          <w:tcPr>
            <w:tcW w:w="2240" w:type="dxa"/>
            <w:noWrap w:val="0"/>
            <w:vAlign w:val="bottom"/>
          </w:tcPr>
          <w:p w14:paraId="72189BB2">
            <w:pPr>
              <w:jc w:val="center"/>
              <w:rPr>
                <w:rFonts w:ascii="Arial" w:hAnsi="Arial" w:cs="Arial"/>
                <w:szCs w:val="21"/>
              </w:rPr>
            </w:pPr>
            <w:r>
              <w:rPr>
                <w:rFonts w:ascii="Arial" w:hAnsi="Arial" w:cs="Arial"/>
                <w:szCs w:val="21"/>
              </w:rPr>
              <w:t>招标文件的</w:t>
            </w:r>
          </w:p>
          <w:p w14:paraId="6631E8A0">
            <w:pPr>
              <w:jc w:val="center"/>
              <w:rPr>
                <w:rFonts w:ascii="Arial" w:hAnsi="Arial" w:cs="Arial"/>
                <w:szCs w:val="21"/>
              </w:rPr>
            </w:pPr>
            <w:r>
              <w:rPr>
                <w:rFonts w:hint="eastAsia" w:ascii="Arial" w:hAnsi="Arial" w:cs="Arial"/>
                <w:szCs w:val="21"/>
              </w:rPr>
              <w:t>要求</w:t>
            </w:r>
          </w:p>
        </w:tc>
        <w:tc>
          <w:tcPr>
            <w:tcW w:w="2400" w:type="dxa"/>
            <w:noWrap w:val="0"/>
            <w:vAlign w:val="bottom"/>
          </w:tcPr>
          <w:p w14:paraId="11A36001">
            <w:pPr>
              <w:jc w:val="center"/>
              <w:rPr>
                <w:rFonts w:ascii="Arial" w:hAnsi="Arial" w:cs="Arial"/>
                <w:szCs w:val="21"/>
              </w:rPr>
            </w:pPr>
            <w:r>
              <w:rPr>
                <w:rFonts w:ascii="Arial" w:hAnsi="Arial" w:cs="Arial"/>
                <w:szCs w:val="21"/>
              </w:rPr>
              <w:t>投标文件的</w:t>
            </w:r>
          </w:p>
          <w:p w14:paraId="57663FDA">
            <w:pPr>
              <w:jc w:val="center"/>
              <w:rPr>
                <w:rFonts w:hint="eastAsia" w:ascii="Arial" w:hAnsi="Arial" w:cs="Arial"/>
                <w:szCs w:val="21"/>
              </w:rPr>
            </w:pPr>
            <w:r>
              <w:rPr>
                <w:rFonts w:hint="eastAsia" w:ascii="Arial" w:hAnsi="Arial" w:cs="Arial"/>
                <w:szCs w:val="21"/>
              </w:rPr>
              <w:t>响应</w:t>
            </w:r>
          </w:p>
        </w:tc>
        <w:tc>
          <w:tcPr>
            <w:tcW w:w="1563" w:type="dxa"/>
            <w:noWrap w:val="0"/>
            <w:vAlign w:val="center"/>
          </w:tcPr>
          <w:p w14:paraId="0500CDD6">
            <w:pPr>
              <w:jc w:val="center"/>
              <w:rPr>
                <w:rFonts w:ascii="Arial" w:hAnsi="Arial" w:cs="Arial"/>
                <w:szCs w:val="21"/>
              </w:rPr>
            </w:pPr>
            <w:r>
              <w:rPr>
                <w:rFonts w:hint="eastAsia" w:ascii="Arial" w:hAnsi="Arial" w:cs="Arial"/>
                <w:szCs w:val="21"/>
              </w:rPr>
              <w:t>偏离</w:t>
            </w:r>
            <w:r>
              <w:rPr>
                <w:rFonts w:ascii="Arial" w:hAnsi="Arial" w:cs="Arial"/>
                <w:szCs w:val="21"/>
              </w:rPr>
              <w:t>说明</w:t>
            </w:r>
          </w:p>
        </w:tc>
      </w:tr>
      <w:tr w14:paraId="08C7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1102" w:type="dxa"/>
            <w:noWrap w:val="0"/>
            <w:vAlign w:val="top"/>
          </w:tcPr>
          <w:p w14:paraId="58BA580F">
            <w:pPr>
              <w:rPr>
                <w:rFonts w:ascii="Arial" w:hAnsi="Arial" w:cs="Arial"/>
                <w:szCs w:val="21"/>
              </w:rPr>
            </w:pPr>
          </w:p>
        </w:tc>
        <w:tc>
          <w:tcPr>
            <w:tcW w:w="1444" w:type="dxa"/>
            <w:noWrap w:val="0"/>
            <w:vAlign w:val="top"/>
          </w:tcPr>
          <w:p w14:paraId="694D34E5">
            <w:pPr>
              <w:rPr>
                <w:rFonts w:ascii="Arial" w:hAnsi="Arial" w:cs="Arial"/>
                <w:szCs w:val="21"/>
              </w:rPr>
            </w:pPr>
          </w:p>
        </w:tc>
        <w:tc>
          <w:tcPr>
            <w:tcW w:w="2240" w:type="dxa"/>
            <w:noWrap w:val="0"/>
            <w:vAlign w:val="top"/>
          </w:tcPr>
          <w:p w14:paraId="3D731095">
            <w:pPr>
              <w:rPr>
                <w:rFonts w:ascii="Arial" w:hAnsi="Arial" w:cs="Arial"/>
                <w:szCs w:val="21"/>
              </w:rPr>
            </w:pPr>
          </w:p>
        </w:tc>
        <w:tc>
          <w:tcPr>
            <w:tcW w:w="2400" w:type="dxa"/>
            <w:noWrap w:val="0"/>
            <w:vAlign w:val="top"/>
          </w:tcPr>
          <w:p w14:paraId="487076C4">
            <w:pPr>
              <w:rPr>
                <w:rFonts w:ascii="Arial" w:hAnsi="Arial" w:cs="Arial"/>
                <w:szCs w:val="21"/>
              </w:rPr>
            </w:pPr>
          </w:p>
        </w:tc>
        <w:tc>
          <w:tcPr>
            <w:tcW w:w="1563" w:type="dxa"/>
            <w:noWrap w:val="0"/>
            <w:vAlign w:val="top"/>
          </w:tcPr>
          <w:p w14:paraId="229C171D">
            <w:pPr>
              <w:rPr>
                <w:rFonts w:ascii="Arial" w:hAnsi="Arial" w:cs="Arial"/>
                <w:szCs w:val="21"/>
              </w:rPr>
            </w:pPr>
          </w:p>
        </w:tc>
      </w:tr>
      <w:tr w14:paraId="189E9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02" w:type="dxa"/>
            <w:noWrap w:val="0"/>
            <w:vAlign w:val="top"/>
          </w:tcPr>
          <w:p w14:paraId="57C248B4">
            <w:pPr>
              <w:rPr>
                <w:rFonts w:ascii="Arial" w:hAnsi="Arial" w:cs="Arial"/>
                <w:szCs w:val="21"/>
              </w:rPr>
            </w:pPr>
          </w:p>
        </w:tc>
        <w:tc>
          <w:tcPr>
            <w:tcW w:w="1444" w:type="dxa"/>
            <w:noWrap w:val="0"/>
            <w:vAlign w:val="top"/>
          </w:tcPr>
          <w:p w14:paraId="499CD365">
            <w:pPr>
              <w:rPr>
                <w:rFonts w:ascii="Arial" w:hAnsi="Arial" w:cs="Arial"/>
                <w:szCs w:val="21"/>
              </w:rPr>
            </w:pPr>
          </w:p>
        </w:tc>
        <w:tc>
          <w:tcPr>
            <w:tcW w:w="2240" w:type="dxa"/>
            <w:noWrap w:val="0"/>
            <w:vAlign w:val="top"/>
          </w:tcPr>
          <w:p w14:paraId="1E90CEAD">
            <w:pPr>
              <w:rPr>
                <w:rFonts w:ascii="Arial" w:hAnsi="Arial" w:cs="Arial"/>
                <w:szCs w:val="21"/>
              </w:rPr>
            </w:pPr>
          </w:p>
        </w:tc>
        <w:tc>
          <w:tcPr>
            <w:tcW w:w="2400" w:type="dxa"/>
            <w:noWrap w:val="0"/>
            <w:vAlign w:val="top"/>
          </w:tcPr>
          <w:p w14:paraId="146A635E">
            <w:pPr>
              <w:rPr>
                <w:rFonts w:ascii="Arial" w:hAnsi="Arial" w:cs="Arial"/>
                <w:szCs w:val="21"/>
              </w:rPr>
            </w:pPr>
          </w:p>
        </w:tc>
        <w:tc>
          <w:tcPr>
            <w:tcW w:w="1563" w:type="dxa"/>
            <w:noWrap w:val="0"/>
            <w:vAlign w:val="top"/>
          </w:tcPr>
          <w:p w14:paraId="7C607918">
            <w:pPr>
              <w:rPr>
                <w:rFonts w:ascii="Arial" w:hAnsi="Arial" w:cs="Arial"/>
                <w:szCs w:val="21"/>
              </w:rPr>
            </w:pPr>
          </w:p>
        </w:tc>
      </w:tr>
      <w:tr w14:paraId="5D0A0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102" w:type="dxa"/>
            <w:noWrap w:val="0"/>
            <w:vAlign w:val="top"/>
          </w:tcPr>
          <w:p w14:paraId="7116BC3B">
            <w:pPr>
              <w:rPr>
                <w:rFonts w:ascii="Arial" w:hAnsi="Arial" w:cs="Arial"/>
                <w:szCs w:val="21"/>
              </w:rPr>
            </w:pPr>
          </w:p>
        </w:tc>
        <w:tc>
          <w:tcPr>
            <w:tcW w:w="1444" w:type="dxa"/>
            <w:noWrap w:val="0"/>
            <w:vAlign w:val="top"/>
          </w:tcPr>
          <w:p w14:paraId="30ACE6E6">
            <w:pPr>
              <w:rPr>
                <w:rFonts w:ascii="Arial" w:hAnsi="Arial" w:cs="Arial"/>
                <w:szCs w:val="21"/>
              </w:rPr>
            </w:pPr>
          </w:p>
        </w:tc>
        <w:tc>
          <w:tcPr>
            <w:tcW w:w="2240" w:type="dxa"/>
            <w:noWrap w:val="0"/>
            <w:vAlign w:val="top"/>
          </w:tcPr>
          <w:p w14:paraId="0C74EAF4">
            <w:pPr>
              <w:rPr>
                <w:rFonts w:ascii="Arial" w:hAnsi="Arial" w:cs="Arial"/>
                <w:szCs w:val="21"/>
              </w:rPr>
            </w:pPr>
          </w:p>
        </w:tc>
        <w:tc>
          <w:tcPr>
            <w:tcW w:w="2400" w:type="dxa"/>
            <w:noWrap w:val="0"/>
            <w:vAlign w:val="top"/>
          </w:tcPr>
          <w:p w14:paraId="6125D663">
            <w:pPr>
              <w:rPr>
                <w:rFonts w:ascii="Arial" w:hAnsi="Arial" w:cs="Arial"/>
                <w:szCs w:val="21"/>
              </w:rPr>
            </w:pPr>
          </w:p>
        </w:tc>
        <w:tc>
          <w:tcPr>
            <w:tcW w:w="1563" w:type="dxa"/>
            <w:noWrap w:val="0"/>
            <w:vAlign w:val="top"/>
          </w:tcPr>
          <w:p w14:paraId="3588C7A5">
            <w:pPr>
              <w:rPr>
                <w:rFonts w:ascii="Arial" w:hAnsi="Arial" w:cs="Arial"/>
                <w:szCs w:val="21"/>
              </w:rPr>
            </w:pPr>
          </w:p>
        </w:tc>
      </w:tr>
      <w:tr w14:paraId="23C0F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1102" w:type="dxa"/>
            <w:noWrap w:val="0"/>
            <w:vAlign w:val="top"/>
          </w:tcPr>
          <w:p w14:paraId="6AF1BB5A">
            <w:pPr>
              <w:rPr>
                <w:rFonts w:ascii="Arial" w:hAnsi="Arial" w:cs="Arial"/>
                <w:szCs w:val="21"/>
              </w:rPr>
            </w:pPr>
          </w:p>
        </w:tc>
        <w:tc>
          <w:tcPr>
            <w:tcW w:w="1444" w:type="dxa"/>
            <w:noWrap w:val="0"/>
            <w:vAlign w:val="top"/>
          </w:tcPr>
          <w:p w14:paraId="5A2401C2">
            <w:pPr>
              <w:rPr>
                <w:rFonts w:ascii="Arial" w:hAnsi="Arial" w:cs="Arial"/>
                <w:szCs w:val="21"/>
              </w:rPr>
            </w:pPr>
          </w:p>
        </w:tc>
        <w:tc>
          <w:tcPr>
            <w:tcW w:w="2240" w:type="dxa"/>
            <w:noWrap w:val="0"/>
            <w:vAlign w:val="top"/>
          </w:tcPr>
          <w:p w14:paraId="3B4205A9">
            <w:pPr>
              <w:rPr>
                <w:rFonts w:ascii="Arial" w:hAnsi="Arial" w:cs="Arial"/>
                <w:szCs w:val="21"/>
              </w:rPr>
            </w:pPr>
          </w:p>
        </w:tc>
        <w:tc>
          <w:tcPr>
            <w:tcW w:w="2400" w:type="dxa"/>
            <w:noWrap w:val="0"/>
            <w:vAlign w:val="top"/>
          </w:tcPr>
          <w:p w14:paraId="128AE287">
            <w:pPr>
              <w:rPr>
                <w:rFonts w:ascii="Arial" w:hAnsi="Arial" w:cs="Arial"/>
                <w:szCs w:val="21"/>
              </w:rPr>
            </w:pPr>
          </w:p>
        </w:tc>
        <w:tc>
          <w:tcPr>
            <w:tcW w:w="1563" w:type="dxa"/>
            <w:noWrap w:val="0"/>
            <w:vAlign w:val="top"/>
          </w:tcPr>
          <w:p w14:paraId="64726DD0">
            <w:pPr>
              <w:rPr>
                <w:rFonts w:ascii="Arial" w:hAnsi="Arial" w:cs="Arial"/>
                <w:szCs w:val="21"/>
              </w:rPr>
            </w:pPr>
          </w:p>
        </w:tc>
      </w:tr>
      <w:tr w14:paraId="63D57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02" w:type="dxa"/>
            <w:noWrap w:val="0"/>
            <w:vAlign w:val="top"/>
          </w:tcPr>
          <w:p w14:paraId="67B6753E">
            <w:pPr>
              <w:rPr>
                <w:rFonts w:ascii="Arial" w:hAnsi="Arial" w:cs="Arial"/>
                <w:szCs w:val="21"/>
              </w:rPr>
            </w:pPr>
          </w:p>
        </w:tc>
        <w:tc>
          <w:tcPr>
            <w:tcW w:w="1444" w:type="dxa"/>
            <w:noWrap w:val="0"/>
            <w:vAlign w:val="top"/>
          </w:tcPr>
          <w:p w14:paraId="3FC87D73">
            <w:pPr>
              <w:rPr>
                <w:rFonts w:ascii="Arial" w:hAnsi="Arial" w:cs="Arial"/>
                <w:szCs w:val="21"/>
              </w:rPr>
            </w:pPr>
          </w:p>
        </w:tc>
        <w:tc>
          <w:tcPr>
            <w:tcW w:w="2240" w:type="dxa"/>
            <w:noWrap w:val="0"/>
            <w:vAlign w:val="top"/>
          </w:tcPr>
          <w:p w14:paraId="43BEA2F1">
            <w:pPr>
              <w:rPr>
                <w:rFonts w:ascii="Arial" w:hAnsi="Arial" w:cs="Arial"/>
                <w:szCs w:val="21"/>
              </w:rPr>
            </w:pPr>
          </w:p>
        </w:tc>
        <w:tc>
          <w:tcPr>
            <w:tcW w:w="2400" w:type="dxa"/>
            <w:noWrap w:val="0"/>
            <w:vAlign w:val="top"/>
          </w:tcPr>
          <w:p w14:paraId="7C22F727">
            <w:pPr>
              <w:rPr>
                <w:rFonts w:ascii="Arial" w:hAnsi="Arial" w:cs="Arial"/>
                <w:szCs w:val="21"/>
              </w:rPr>
            </w:pPr>
          </w:p>
        </w:tc>
        <w:tc>
          <w:tcPr>
            <w:tcW w:w="1563" w:type="dxa"/>
            <w:noWrap w:val="0"/>
            <w:vAlign w:val="top"/>
          </w:tcPr>
          <w:p w14:paraId="1C55D7FD">
            <w:pPr>
              <w:rPr>
                <w:rFonts w:ascii="Arial" w:hAnsi="Arial" w:cs="Arial"/>
                <w:szCs w:val="21"/>
              </w:rPr>
            </w:pPr>
          </w:p>
        </w:tc>
      </w:tr>
      <w:tr w14:paraId="1FF59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02" w:type="dxa"/>
            <w:noWrap w:val="0"/>
            <w:vAlign w:val="top"/>
          </w:tcPr>
          <w:p w14:paraId="168D7554">
            <w:pPr>
              <w:rPr>
                <w:rFonts w:ascii="Arial" w:hAnsi="Arial" w:cs="Arial"/>
                <w:szCs w:val="21"/>
              </w:rPr>
            </w:pPr>
          </w:p>
        </w:tc>
        <w:tc>
          <w:tcPr>
            <w:tcW w:w="1444" w:type="dxa"/>
            <w:noWrap w:val="0"/>
            <w:vAlign w:val="top"/>
          </w:tcPr>
          <w:p w14:paraId="27487C60">
            <w:pPr>
              <w:rPr>
                <w:rFonts w:ascii="Arial" w:hAnsi="Arial" w:cs="Arial"/>
                <w:szCs w:val="21"/>
              </w:rPr>
            </w:pPr>
          </w:p>
        </w:tc>
        <w:tc>
          <w:tcPr>
            <w:tcW w:w="2240" w:type="dxa"/>
            <w:noWrap w:val="0"/>
            <w:vAlign w:val="top"/>
          </w:tcPr>
          <w:p w14:paraId="0BDABDDF">
            <w:pPr>
              <w:rPr>
                <w:rFonts w:ascii="Arial" w:hAnsi="Arial" w:cs="Arial"/>
                <w:szCs w:val="21"/>
              </w:rPr>
            </w:pPr>
          </w:p>
        </w:tc>
        <w:tc>
          <w:tcPr>
            <w:tcW w:w="2400" w:type="dxa"/>
            <w:noWrap w:val="0"/>
            <w:vAlign w:val="top"/>
          </w:tcPr>
          <w:p w14:paraId="02DDFC2D">
            <w:pPr>
              <w:rPr>
                <w:rFonts w:ascii="Arial" w:hAnsi="Arial" w:cs="Arial"/>
                <w:szCs w:val="21"/>
              </w:rPr>
            </w:pPr>
          </w:p>
        </w:tc>
        <w:tc>
          <w:tcPr>
            <w:tcW w:w="1563" w:type="dxa"/>
            <w:noWrap w:val="0"/>
            <w:vAlign w:val="top"/>
          </w:tcPr>
          <w:p w14:paraId="4CE7EDA2">
            <w:pPr>
              <w:rPr>
                <w:rFonts w:ascii="Arial" w:hAnsi="Arial" w:cs="Arial"/>
                <w:szCs w:val="21"/>
              </w:rPr>
            </w:pPr>
          </w:p>
        </w:tc>
      </w:tr>
      <w:tr w14:paraId="08936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02" w:type="dxa"/>
            <w:noWrap w:val="0"/>
            <w:vAlign w:val="top"/>
          </w:tcPr>
          <w:p w14:paraId="0985DFB3">
            <w:pPr>
              <w:rPr>
                <w:rFonts w:ascii="Arial" w:hAnsi="Arial" w:cs="Arial"/>
                <w:szCs w:val="21"/>
              </w:rPr>
            </w:pPr>
          </w:p>
        </w:tc>
        <w:tc>
          <w:tcPr>
            <w:tcW w:w="1444" w:type="dxa"/>
            <w:noWrap w:val="0"/>
            <w:vAlign w:val="top"/>
          </w:tcPr>
          <w:p w14:paraId="12136D1F">
            <w:pPr>
              <w:rPr>
                <w:rFonts w:ascii="Arial" w:hAnsi="Arial" w:cs="Arial"/>
                <w:szCs w:val="21"/>
              </w:rPr>
            </w:pPr>
          </w:p>
        </w:tc>
        <w:tc>
          <w:tcPr>
            <w:tcW w:w="2240" w:type="dxa"/>
            <w:noWrap w:val="0"/>
            <w:vAlign w:val="top"/>
          </w:tcPr>
          <w:p w14:paraId="3BCFE4DD">
            <w:pPr>
              <w:rPr>
                <w:rFonts w:ascii="Arial" w:hAnsi="Arial" w:cs="Arial"/>
                <w:szCs w:val="21"/>
              </w:rPr>
            </w:pPr>
          </w:p>
        </w:tc>
        <w:tc>
          <w:tcPr>
            <w:tcW w:w="2400" w:type="dxa"/>
            <w:noWrap w:val="0"/>
            <w:vAlign w:val="top"/>
          </w:tcPr>
          <w:p w14:paraId="0D52A88F">
            <w:pPr>
              <w:rPr>
                <w:rFonts w:ascii="Arial" w:hAnsi="Arial" w:cs="Arial"/>
                <w:szCs w:val="21"/>
              </w:rPr>
            </w:pPr>
          </w:p>
        </w:tc>
        <w:tc>
          <w:tcPr>
            <w:tcW w:w="1563" w:type="dxa"/>
            <w:noWrap w:val="0"/>
            <w:vAlign w:val="top"/>
          </w:tcPr>
          <w:p w14:paraId="6C059B71">
            <w:pPr>
              <w:rPr>
                <w:rFonts w:ascii="Arial" w:hAnsi="Arial" w:cs="Arial"/>
                <w:szCs w:val="21"/>
              </w:rPr>
            </w:pPr>
          </w:p>
        </w:tc>
      </w:tr>
      <w:tr w14:paraId="2CB39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02" w:type="dxa"/>
            <w:noWrap w:val="0"/>
            <w:vAlign w:val="top"/>
          </w:tcPr>
          <w:p w14:paraId="1DE7A056">
            <w:pPr>
              <w:rPr>
                <w:rFonts w:ascii="Arial" w:hAnsi="Arial" w:cs="Arial"/>
                <w:szCs w:val="21"/>
              </w:rPr>
            </w:pPr>
          </w:p>
        </w:tc>
        <w:tc>
          <w:tcPr>
            <w:tcW w:w="1444" w:type="dxa"/>
            <w:noWrap w:val="0"/>
            <w:vAlign w:val="top"/>
          </w:tcPr>
          <w:p w14:paraId="06D63A14">
            <w:pPr>
              <w:rPr>
                <w:rFonts w:ascii="Arial" w:hAnsi="Arial" w:cs="Arial"/>
                <w:szCs w:val="21"/>
              </w:rPr>
            </w:pPr>
          </w:p>
        </w:tc>
        <w:tc>
          <w:tcPr>
            <w:tcW w:w="2240" w:type="dxa"/>
            <w:noWrap w:val="0"/>
            <w:vAlign w:val="top"/>
          </w:tcPr>
          <w:p w14:paraId="5B879B7A">
            <w:pPr>
              <w:rPr>
                <w:rFonts w:ascii="Arial" w:hAnsi="Arial" w:cs="Arial"/>
                <w:szCs w:val="21"/>
              </w:rPr>
            </w:pPr>
          </w:p>
        </w:tc>
        <w:tc>
          <w:tcPr>
            <w:tcW w:w="2400" w:type="dxa"/>
            <w:noWrap w:val="0"/>
            <w:vAlign w:val="top"/>
          </w:tcPr>
          <w:p w14:paraId="347F7FB7">
            <w:pPr>
              <w:rPr>
                <w:rFonts w:ascii="Arial" w:hAnsi="Arial" w:cs="Arial"/>
                <w:szCs w:val="21"/>
              </w:rPr>
            </w:pPr>
          </w:p>
        </w:tc>
        <w:tc>
          <w:tcPr>
            <w:tcW w:w="1563" w:type="dxa"/>
            <w:noWrap w:val="0"/>
            <w:vAlign w:val="top"/>
          </w:tcPr>
          <w:p w14:paraId="63490ECC">
            <w:pPr>
              <w:rPr>
                <w:rFonts w:ascii="Arial" w:hAnsi="Arial" w:cs="Arial"/>
                <w:szCs w:val="21"/>
              </w:rPr>
            </w:pPr>
          </w:p>
        </w:tc>
      </w:tr>
    </w:tbl>
    <w:p w14:paraId="47A27BCB">
      <w:pPr>
        <w:widowControl/>
        <w:shd w:val="clear" w:color="auto" w:fill="FFFFFF"/>
        <w:spacing w:line="360" w:lineRule="auto"/>
        <w:jc w:val="left"/>
        <w:rPr>
          <w:rFonts w:ascii="宋体" w:hAnsi="宋体"/>
          <w:szCs w:val="21"/>
        </w:rPr>
      </w:pPr>
      <w:r>
        <w:rPr>
          <w:rFonts w:hint="eastAsia" w:ascii="宋体" w:hAnsi="宋体"/>
          <w:szCs w:val="21"/>
        </w:rPr>
        <w:t>说明：</w:t>
      </w:r>
    </w:p>
    <w:p w14:paraId="2ED72C40">
      <w:pPr>
        <w:widowControl/>
        <w:shd w:val="clear" w:color="auto" w:fill="FFFFFF"/>
        <w:spacing w:line="360" w:lineRule="auto"/>
        <w:jc w:val="left"/>
        <w:rPr>
          <w:rFonts w:ascii="宋体" w:hAnsi="宋体"/>
          <w:szCs w:val="21"/>
        </w:rPr>
      </w:pPr>
      <w:r>
        <w:rPr>
          <w:rFonts w:ascii="宋体" w:hAnsi="宋体"/>
          <w:szCs w:val="21"/>
        </w:rPr>
        <w:t>如果行数不够，请自行增加。</w:t>
      </w:r>
    </w:p>
    <w:p w14:paraId="33B400C8">
      <w:pPr>
        <w:widowControl/>
        <w:shd w:val="clear" w:color="auto" w:fill="FFFFFF"/>
        <w:spacing w:line="360" w:lineRule="auto"/>
        <w:jc w:val="left"/>
        <w:rPr>
          <w:rFonts w:ascii="宋体" w:hAnsi="宋体"/>
          <w:szCs w:val="21"/>
        </w:rPr>
      </w:pPr>
    </w:p>
    <w:p w14:paraId="0A2A59A0">
      <w:pPr>
        <w:widowControl/>
        <w:shd w:val="clear" w:color="auto" w:fill="FFFFFF"/>
        <w:spacing w:line="360" w:lineRule="auto"/>
        <w:jc w:val="left"/>
        <w:rPr>
          <w:rFonts w:ascii="宋体" w:hAnsi="宋体"/>
          <w:szCs w:val="21"/>
        </w:rPr>
      </w:pPr>
    </w:p>
    <w:p w14:paraId="2EA98482">
      <w:pPr>
        <w:widowControl/>
        <w:shd w:val="clear" w:color="auto" w:fill="FFFFFF"/>
        <w:spacing w:line="360" w:lineRule="auto"/>
        <w:jc w:val="left"/>
        <w:rPr>
          <w:rFonts w:hint="eastAsia" w:ascii="宋体" w:hAnsi="宋体"/>
          <w:szCs w:val="21"/>
        </w:rPr>
      </w:pPr>
    </w:p>
    <w:p w14:paraId="66C5083E">
      <w:pPr>
        <w:pStyle w:val="207"/>
        <w:spacing w:after="120" w:line="360" w:lineRule="auto"/>
        <w:ind w:left="3400" w:firstLine="425"/>
        <w:rPr>
          <w:rFonts w:ascii="Arial" w:hAnsi="Arial" w:eastAsia="宋体" w:cs="Arial"/>
          <w:sz w:val="24"/>
        </w:rPr>
      </w:pPr>
      <w:r>
        <w:rPr>
          <w:rFonts w:ascii="Arial" w:hAnsi="Arial" w:eastAsia="宋体" w:cs="Arial"/>
          <w:sz w:val="24"/>
        </w:rPr>
        <w:t>投标人（加盖CA电子公章）：</w:t>
      </w:r>
    </w:p>
    <w:p w14:paraId="4A778A31">
      <w:pPr>
        <w:pStyle w:val="207"/>
        <w:spacing w:after="120" w:line="360" w:lineRule="auto"/>
        <w:ind w:left="3400" w:firstLine="425"/>
        <w:rPr>
          <w:rFonts w:ascii="Arial" w:hAnsi="Arial" w:eastAsia="宋体" w:cs="Arial"/>
          <w:sz w:val="24"/>
        </w:rPr>
      </w:pPr>
      <w:r>
        <w:rPr>
          <w:rFonts w:ascii="Arial" w:hAnsi="Arial" w:eastAsia="宋体" w:cs="Arial"/>
          <w:sz w:val="24"/>
        </w:rPr>
        <w:t>法定代表人或授权代表（签字或签章）：</w:t>
      </w:r>
    </w:p>
    <w:p w14:paraId="5E6CC50F">
      <w:pPr>
        <w:pStyle w:val="207"/>
        <w:spacing w:after="120" w:line="360" w:lineRule="auto"/>
        <w:ind w:left="3400" w:firstLine="425"/>
        <w:rPr>
          <w:rFonts w:ascii="Arial" w:hAnsi="Arial" w:eastAsia="宋体" w:cs="Arial"/>
          <w:sz w:val="24"/>
        </w:rPr>
      </w:pPr>
      <w:r>
        <w:rPr>
          <w:rFonts w:ascii="Arial" w:hAnsi="Arial" w:eastAsia="宋体" w:cs="Arial"/>
          <w:sz w:val="24"/>
        </w:rPr>
        <w:t>日期：</w:t>
      </w:r>
    </w:p>
    <w:p w14:paraId="7E5DB33E">
      <w:pPr>
        <w:rPr>
          <w:rFonts w:hint="eastAsia"/>
        </w:rPr>
      </w:pPr>
    </w:p>
    <w:p w14:paraId="52C24A9A">
      <w:pPr>
        <w:pStyle w:val="186"/>
        <w:rPr>
          <w:rFonts w:ascii="宋体" w:hAnsi="宋体"/>
          <w:sz w:val="24"/>
          <w:szCs w:val="24"/>
        </w:rPr>
      </w:pPr>
      <w:bookmarkStart w:id="123" w:name="_GoBack"/>
      <w:bookmarkEnd w:id="123"/>
      <w:r>
        <w:rPr>
          <w:rFonts w:hint="eastAsia" w:ascii="宋体" w:hAnsi="宋体"/>
          <w:sz w:val="24"/>
          <w:szCs w:val="24"/>
          <w:lang w:val="en-US" w:eastAsia="zh-CN"/>
        </w:rPr>
        <w:t>7</w:t>
      </w:r>
      <w:r>
        <w:rPr>
          <w:rFonts w:hint="eastAsia" w:ascii="宋体" w:hAnsi="宋体"/>
          <w:sz w:val="24"/>
          <w:szCs w:val="24"/>
        </w:rPr>
        <w:t>、中小企业声明函</w:t>
      </w:r>
    </w:p>
    <w:p w14:paraId="2F133F1F">
      <w:pPr>
        <w:rPr>
          <w:rFonts w:hint="eastAsia"/>
        </w:rPr>
      </w:pPr>
    </w:p>
    <w:p w14:paraId="64B09CB0">
      <w:pPr>
        <w:pStyle w:val="210"/>
        <w:spacing w:line="500" w:lineRule="exact"/>
        <w:ind w:firstLine="480"/>
        <w:rPr>
          <w:rFonts w:hint="eastAsia" w:ascii="宋体" w:hAnsi="宋体" w:eastAsia="宋体" w:cs="宋体"/>
          <w:b w:val="0"/>
          <w:sz w:val="24"/>
        </w:rPr>
      </w:pPr>
      <w:r>
        <w:rPr>
          <w:rFonts w:hint="eastAsia" w:ascii="宋体" w:hAnsi="宋体" w:eastAsia="宋体" w:cs="宋体"/>
          <w:b w:val="0"/>
          <w:sz w:val="24"/>
        </w:rPr>
        <w:t>本公司（联合体）郑重声明，根据《政府采购促进中小企业发展管理办法》（财库〔2020〕46号）的规定，本公司（联合体）参加</w:t>
      </w:r>
      <w:r>
        <w:rPr>
          <w:rFonts w:hint="eastAsia" w:ascii="宋体" w:hAnsi="宋体" w:eastAsia="宋体" w:cs="宋体"/>
          <w:b w:val="0"/>
          <w:sz w:val="24"/>
          <w:u w:val="single"/>
        </w:rPr>
        <w:t xml:space="preserve"> 单位名称  </w:t>
      </w:r>
      <w:r>
        <w:rPr>
          <w:rFonts w:hint="eastAsia" w:ascii="宋体" w:hAnsi="宋体" w:eastAsia="宋体" w:cs="宋体"/>
          <w:b w:val="0"/>
          <w:sz w:val="24"/>
        </w:rPr>
        <w:t>的（</w:t>
      </w:r>
      <w:r>
        <w:rPr>
          <w:rFonts w:hint="eastAsia" w:ascii="宋体" w:hAnsi="宋体" w:eastAsia="宋体" w:cs="宋体"/>
          <w:b w:val="0"/>
          <w:sz w:val="24"/>
          <w:u w:val="single"/>
        </w:rPr>
        <w:t>采购包名称）</w:t>
      </w:r>
      <w:r>
        <w:rPr>
          <w:rFonts w:hint="eastAsia" w:ascii="宋体" w:hAnsi="宋体" w:eastAsia="宋体" w:cs="宋体"/>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660BCAC5">
      <w:pPr>
        <w:pStyle w:val="210"/>
        <w:spacing w:line="500" w:lineRule="exact"/>
        <w:ind w:firstLine="480"/>
        <w:rPr>
          <w:rFonts w:hint="eastAsia" w:ascii="宋体" w:hAnsi="宋体" w:eastAsia="宋体" w:cs="宋体"/>
          <w:b w:val="0"/>
          <w:sz w:val="24"/>
          <w:u w:val="single"/>
        </w:rPr>
      </w:pPr>
      <w:r>
        <w:rPr>
          <w:rFonts w:hint="eastAsia" w:ascii="宋体" w:hAnsi="宋体" w:eastAsia="宋体" w:cs="宋体"/>
          <w:b w:val="0"/>
          <w:sz w:val="24"/>
        </w:rPr>
        <w:t xml:space="preserve">1. </w:t>
      </w:r>
      <w:r>
        <w:rPr>
          <w:rFonts w:hint="eastAsia" w:ascii="宋体" w:hAnsi="宋体" w:eastAsia="宋体" w:cs="宋体"/>
          <w:b w:val="0"/>
          <w:sz w:val="24"/>
          <w:u w:val="single"/>
        </w:rPr>
        <w:t xml:space="preserve">标的名称          </w:t>
      </w:r>
      <w:r>
        <w:rPr>
          <w:rFonts w:hint="eastAsia" w:ascii="宋体" w:hAnsi="宋体" w:eastAsia="宋体" w:cs="宋体"/>
          <w:b w:val="0"/>
          <w:sz w:val="24"/>
        </w:rPr>
        <w:t>，属于</w:t>
      </w:r>
      <w:r>
        <w:rPr>
          <w:rFonts w:hint="eastAsia" w:ascii="宋体" w:hAnsi="宋体" w:eastAsia="宋体" w:cs="宋体"/>
          <w:b w:val="0"/>
          <w:sz w:val="24"/>
          <w:u w:val="single"/>
        </w:rPr>
        <w:t>其他未列明行业行业</w:t>
      </w:r>
      <w:r>
        <w:rPr>
          <w:rFonts w:hint="eastAsia" w:ascii="宋体" w:hAnsi="宋体" w:eastAsia="宋体" w:cs="宋体"/>
          <w:b w:val="0"/>
          <w:sz w:val="24"/>
        </w:rPr>
        <w:t>；承建（承接）企业为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万元</w:t>
      </w:r>
      <w:r>
        <w:rPr>
          <w:rFonts w:hint="eastAsia" w:ascii="宋体" w:hAnsi="宋体" w:eastAsia="宋体" w:cs="宋体"/>
          <w:b w:val="0"/>
          <w:sz w:val="24"/>
          <w:vertAlign w:val="superscript"/>
        </w:rPr>
        <w:t>1</w:t>
      </w:r>
      <w:r>
        <w:rPr>
          <w:rFonts w:hint="eastAsia" w:ascii="宋体" w:hAnsi="宋体" w:eastAsia="宋体" w:cs="宋体"/>
          <w:b w:val="0"/>
          <w:sz w:val="24"/>
        </w:rPr>
        <w:t>，属于</w:t>
      </w:r>
      <w:r>
        <w:rPr>
          <w:rFonts w:hint="eastAsia" w:ascii="宋体" w:hAnsi="宋体" w:eastAsia="宋体" w:cs="宋体"/>
          <w:b w:val="0"/>
          <w:sz w:val="24"/>
          <w:u w:val="single"/>
        </w:rPr>
        <w:t>（中型企业、小型企业、微型企业）；</w:t>
      </w:r>
    </w:p>
    <w:p w14:paraId="29046757">
      <w:pPr>
        <w:pStyle w:val="210"/>
        <w:spacing w:line="500" w:lineRule="exact"/>
        <w:ind w:firstLine="480"/>
        <w:rPr>
          <w:rFonts w:hint="eastAsia" w:ascii="宋体" w:hAnsi="宋体" w:eastAsia="宋体" w:cs="宋体"/>
          <w:b w:val="0"/>
          <w:sz w:val="24"/>
          <w:u w:val="single"/>
        </w:rPr>
      </w:pPr>
      <w:r>
        <w:rPr>
          <w:rFonts w:hint="eastAsia" w:ascii="宋体" w:hAnsi="宋体" w:eastAsia="宋体" w:cs="宋体"/>
          <w:b w:val="0"/>
          <w:sz w:val="24"/>
        </w:rPr>
        <w:t xml:space="preserve">2. </w:t>
      </w:r>
      <w:r>
        <w:rPr>
          <w:rFonts w:hint="eastAsia" w:ascii="宋体" w:hAnsi="宋体" w:eastAsia="宋体" w:cs="宋体"/>
          <w:b w:val="0"/>
          <w:sz w:val="24"/>
          <w:u w:val="single"/>
        </w:rPr>
        <w:t xml:space="preserve">标的名称          </w:t>
      </w:r>
      <w:r>
        <w:rPr>
          <w:rFonts w:hint="eastAsia" w:ascii="宋体" w:hAnsi="宋体" w:eastAsia="宋体" w:cs="宋体"/>
          <w:b w:val="0"/>
          <w:sz w:val="24"/>
        </w:rPr>
        <w:t>，属于</w:t>
      </w:r>
      <w:r>
        <w:rPr>
          <w:rFonts w:hint="eastAsia" w:ascii="宋体" w:hAnsi="宋体" w:eastAsia="宋体" w:cs="宋体"/>
          <w:b w:val="0"/>
          <w:sz w:val="24"/>
          <w:u w:val="single"/>
        </w:rPr>
        <w:t>其他未列明行业行业</w:t>
      </w:r>
      <w:r>
        <w:rPr>
          <w:rFonts w:hint="eastAsia" w:ascii="宋体" w:hAnsi="宋体" w:eastAsia="宋体" w:cs="宋体"/>
          <w:b w:val="0"/>
          <w:sz w:val="24"/>
        </w:rPr>
        <w:t>；承建（承接）企业为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万元，属于</w:t>
      </w:r>
      <w:r>
        <w:rPr>
          <w:rFonts w:hint="eastAsia" w:ascii="宋体" w:hAnsi="宋体" w:eastAsia="宋体" w:cs="宋体"/>
          <w:b w:val="0"/>
          <w:sz w:val="24"/>
          <w:u w:val="single"/>
        </w:rPr>
        <w:t>（中型企业、小型企业、微型企业）；</w:t>
      </w:r>
    </w:p>
    <w:p w14:paraId="3AA3BCED">
      <w:pPr>
        <w:pStyle w:val="210"/>
        <w:spacing w:line="500" w:lineRule="exact"/>
        <w:ind w:firstLine="480"/>
        <w:rPr>
          <w:rFonts w:hint="eastAsia" w:ascii="宋体" w:hAnsi="宋体" w:eastAsia="宋体" w:cs="宋体"/>
          <w:b w:val="0"/>
          <w:sz w:val="24"/>
        </w:rPr>
      </w:pPr>
      <w:r>
        <w:rPr>
          <w:rFonts w:hint="eastAsia" w:ascii="宋体" w:hAnsi="宋体" w:eastAsia="宋体" w:cs="宋体"/>
          <w:b w:val="0"/>
          <w:sz w:val="24"/>
        </w:rPr>
        <w:t>……</w:t>
      </w:r>
    </w:p>
    <w:p w14:paraId="4A617575">
      <w:pPr>
        <w:shd w:val="clear" w:color="auto" w:fill="FFFFFF"/>
        <w:spacing w:line="360" w:lineRule="auto"/>
        <w:ind w:firstLine="480"/>
        <w:rPr>
          <w:rFonts w:ascii="宋体" w:hAnsi="宋体" w:cs="Arial"/>
          <w:sz w:val="24"/>
          <w:szCs w:val="24"/>
        </w:rPr>
      </w:pPr>
      <w:r>
        <w:rPr>
          <w:rFonts w:hint="eastAsia" w:ascii="宋体" w:hAnsi="宋体" w:cs="Arial"/>
          <w:sz w:val="24"/>
          <w:szCs w:val="24"/>
        </w:rPr>
        <w:t>以上企业，不属于大企业的分支机构，不存在控股股东为大企业的情形，也不存在与大企业的负责人为同一人的情形。</w:t>
      </w:r>
    </w:p>
    <w:p w14:paraId="7296B4D9">
      <w:pPr>
        <w:shd w:val="clear" w:color="auto" w:fill="FFFFFF"/>
        <w:spacing w:line="360" w:lineRule="auto"/>
        <w:ind w:firstLine="480"/>
        <w:rPr>
          <w:rFonts w:hint="eastAsia" w:ascii="宋体" w:hAnsi="宋体" w:cs="Arial"/>
          <w:sz w:val="24"/>
          <w:szCs w:val="24"/>
        </w:rPr>
      </w:pPr>
      <w:r>
        <w:rPr>
          <w:rFonts w:hint="eastAsia" w:ascii="宋体" w:hAnsi="宋体" w:cs="Arial"/>
          <w:sz w:val="24"/>
          <w:szCs w:val="24"/>
        </w:rPr>
        <w:t>本企业对上述声明内容的真实性负责。如有虚假，将依法承担相应责任。</w:t>
      </w:r>
    </w:p>
    <w:p w14:paraId="027C2FA5">
      <w:pPr>
        <w:shd w:val="clear" w:color="auto" w:fill="FFFFFF"/>
        <w:spacing w:line="360" w:lineRule="auto"/>
        <w:ind w:firstLine="480"/>
        <w:rPr>
          <w:rFonts w:ascii="宋体" w:hAnsi="宋体" w:cs="Arial"/>
          <w:sz w:val="24"/>
          <w:szCs w:val="24"/>
        </w:rPr>
      </w:pPr>
    </w:p>
    <w:p w14:paraId="66219621">
      <w:pPr>
        <w:shd w:val="clear" w:color="auto" w:fill="FFFFFF"/>
        <w:spacing w:line="360" w:lineRule="auto"/>
        <w:ind w:firstLine="5520"/>
        <w:rPr>
          <w:rFonts w:ascii="宋体" w:hAnsi="宋体" w:cs="Arial"/>
          <w:sz w:val="24"/>
          <w:szCs w:val="24"/>
        </w:rPr>
      </w:pPr>
      <w:r>
        <w:rPr>
          <w:rFonts w:hint="eastAsia" w:ascii="宋体" w:hAnsi="宋体" w:cs="Arial"/>
          <w:sz w:val="24"/>
          <w:szCs w:val="24"/>
        </w:rPr>
        <w:t>企业名称（</w:t>
      </w:r>
      <w:r>
        <w:rPr>
          <w:rFonts w:hint="eastAsia" w:ascii="Arial" w:hAnsi="Arial" w:cs="Arial"/>
          <w:sz w:val="24"/>
        </w:rPr>
        <w:t>加盖CA电子公章</w:t>
      </w:r>
      <w:r>
        <w:rPr>
          <w:rFonts w:hint="eastAsia" w:ascii="宋体" w:hAnsi="宋体" w:cs="Arial"/>
          <w:sz w:val="24"/>
          <w:szCs w:val="24"/>
        </w:rPr>
        <w:t>）：</w:t>
      </w:r>
    </w:p>
    <w:p w14:paraId="468C964F">
      <w:pPr>
        <w:shd w:val="clear" w:color="auto" w:fill="FFFFFF"/>
        <w:spacing w:line="360" w:lineRule="auto"/>
        <w:ind w:firstLine="480"/>
        <w:rPr>
          <w:rFonts w:ascii="宋体" w:hAnsi="宋体" w:cs="Arial"/>
          <w:sz w:val="24"/>
          <w:szCs w:val="24"/>
        </w:rPr>
      </w:pPr>
    </w:p>
    <w:p w14:paraId="2B3B04C4">
      <w:pPr>
        <w:tabs>
          <w:tab w:val="left" w:pos="1280"/>
        </w:tabs>
        <w:spacing w:line="360" w:lineRule="auto"/>
        <w:ind w:firstLine="6600"/>
        <w:rPr>
          <w:rFonts w:ascii="宋体" w:hAnsi="宋体" w:cs="Arial"/>
          <w:sz w:val="24"/>
          <w:szCs w:val="24"/>
        </w:rPr>
      </w:pPr>
      <w:r>
        <w:rPr>
          <w:rFonts w:hint="eastAsia" w:ascii="宋体" w:hAnsi="宋体" w:cs="Arial"/>
          <w:sz w:val="24"/>
          <w:szCs w:val="24"/>
        </w:rPr>
        <w:t>日 期：</w:t>
      </w:r>
    </w:p>
    <w:p w14:paraId="4B50FC92">
      <w:pPr>
        <w:spacing w:line="360" w:lineRule="auto"/>
        <w:rPr>
          <w:rFonts w:ascii="宋体" w:hAnsi="宋体"/>
          <w:sz w:val="24"/>
          <w:szCs w:val="24"/>
          <w:u w:val="single"/>
        </w:rPr>
      </w:pPr>
      <w:r>
        <w:rPr>
          <w:rFonts w:hint="eastAsia" w:ascii="宋体" w:hAnsi="宋体"/>
          <w:sz w:val="24"/>
          <w:szCs w:val="24"/>
          <w:u w:val="single"/>
        </w:rPr>
        <w:t xml:space="preserve">                           </w:t>
      </w:r>
    </w:p>
    <w:p w14:paraId="5F7F24A9">
      <w:pPr>
        <w:spacing w:line="360" w:lineRule="auto"/>
        <w:rPr>
          <w:rFonts w:ascii="宋体" w:hAnsi="宋体"/>
          <w:sz w:val="24"/>
          <w:szCs w:val="24"/>
        </w:rPr>
      </w:pPr>
      <w:r>
        <w:rPr>
          <w:rFonts w:hint="eastAsia" w:ascii="宋体" w:hAnsi="宋体" w:cs="Arial"/>
          <w:sz w:val="24"/>
          <w:szCs w:val="24"/>
          <w:vertAlign w:val="superscript"/>
        </w:rPr>
        <w:t>1</w:t>
      </w:r>
      <w:r>
        <w:rPr>
          <w:rFonts w:hint="eastAsia" w:ascii="宋体" w:hAnsi="宋体" w:cs="Arial"/>
          <w:sz w:val="24"/>
          <w:szCs w:val="24"/>
        </w:rPr>
        <w:t>从业人员、营业收入、资产总额填报上一年度数据，无上一年度数据的新成立企业可不填报。</w:t>
      </w:r>
    </w:p>
    <w:p w14:paraId="7C0F35F7">
      <w:pPr>
        <w:rPr>
          <w:sz w:val="24"/>
          <w:szCs w:val="24"/>
        </w:rPr>
      </w:pPr>
    </w:p>
    <w:p w14:paraId="5D8F91D8">
      <w:pPr>
        <w:spacing w:line="360" w:lineRule="auto"/>
        <w:rPr>
          <w:rFonts w:hint="eastAsia" w:ascii="宋体" w:hAnsi="宋体"/>
          <w:sz w:val="24"/>
          <w:szCs w:val="24"/>
        </w:rPr>
      </w:pPr>
    </w:p>
    <w:p w14:paraId="74CE388A">
      <w:pPr>
        <w:pStyle w:val="186"/>
        <w:rPr>
          <w:rFonts w:ascii="宋体" w:hAnsi="宋体"/>
          <w:sz w:val="24"/>
          <w:szCs w:val="24"/>
        </w:rPr>
      </w:pPr>
      <w:r>
        <w:rPr>
          <w:rFonts w:ascii="宋体" w:hAnsi="宋体"/>
          <w:sz w:val="24"/>
          <w:szCs w:val="24"/>
        </w:rPr>
        <w:br w:type="page" w:clear="all"/>
      </w:r>
      <w:r>
        <w:rPr>
          <w:rFonts w:hint="eastAsia" w:ascii="宋体" w:hAnsi="宋体"/>
          <w:sz w:val="24"/>
          <w:szCs w:val="24"/>
          <w:lang w:val="en-US" w:eastAsia="zh-CN"/>
        </w:rPr>
        <w:t>8</w:t>
      </w:r>
      <w:r>
        <w:rPr>
          <w:rFonts w:hint="eastAsia" w:ascii="宋体" w:hAnsi="宋体"/>
          <w:sz w:val="24"/>
          <w:szCs w:val="24"/>
        </w:rPr>
        <w:t>、残疾人福利性单位声明函</w:t>
      </w:r>
    </w:p>
    <w:p w14:paraId="12FCBD24">
      <w:pPr>
        <w:spacing w:line="588" w:lineRule="exact"/>
        <w:rPr>
          <w:rFonts w:hint="eastAsia" w:ascii="宋体" w:hAnsi="宋体"/>
          <w:sz w:val="28"/>
          <w:szCs w:val="28"/>
        </w:rPr>
      </w:pPr>
    </w:p>
    <w:p w14:paraId="6E9BB4B9">
      <w:pPr>
        <w:spacing w:line="588" w:lineRule="exact"/>
        <w:ind w:firstLine="504"/>
        <w:rPr>
          <w:rFonts w:ascii="宋体" w:hAnsi="宋体" w:cs="仿宋"/>
          <w:spacing w:val="6"/>
          <w:sz w:val="24"/>
          <w:u w:val="single"/>
        </w:rPr>
      </w:pPr>
      <w:r>
        <w:rPr>
          <w:rFonts w:hint="eastAsia" w:ascii="宋体" w:hAnsi="宋体" w:cs="仿宋"/>
          <w:spacing w:val="6"/>
          <w:sz w:val="24"/>
        </w:rPr>
        <w:t>项目名称：</w:t>
      </w:r>
      <w:r>
        <w:rPr>
          <w:rFonts w:hint="eastAsia" w:ascii="宋体" w:hAnsi="宋体" w:cs="仿宋"/>
          <w:spacing w:val="6"/>
          <w:sz w:val="24"/>
          <w:u w:val="single"/>
        </w:rPr>
        <w:t xml:space="preserve">                </w:t>
      </w:r>
    </w:p>
    <w:p w14:paraId="4FF25370">
      <w:pPr>
        <w:spacing w:line="588" w:lineRule="exact"/>
        <w:ind w:firstLine="504"/>
        <w:rPr>
          <w:rFonts w:ascii="宋体" w:hAnsi="宋体" w:cs="仿宋"/>
          <w:spacing w:val="6"/>
          <w:sz w:val="24"/>
          <w:u w:val="single"/>
        </w:rPr>
      </w:pPr>
      <w:r>
        <w:rPr>
          <w:rFonts w:hint="eastAsia" w:ascii="宋体" w:hAnsi="宋体" w:cs="仿宋"/>
          <w:spacing w:val="6"/>
          <w:sz w:val="24"/>
        </w:rPr>
        <w:t>项目编号：</w:t>
      </w:r>
      <w:r>
        <w:rPr>
          <w:rFonts w:hint="eastAsia" w:ascii="宋体" w:hAnsi="宋体" w:cs="仿宋"/>
          <w:spacing w:val="6"/>
          <w:sz w:val="24"/>
          <w:u w:val="single"/>
        </w:rPr>
        <w:t xml:space="preserve">                </w:t>
      </w:r>
    </w:p>
    <w:p w14:paraId="6807D3E0">
      <w:pPr>
        <w:spacing w:line="588" w:lineRule="exact"/>
        <w:ind w:firstLine="504"/>
        <w:rPr>
          <w:rFonts w:ascii="宋体" w:hAnsi="宋体" w:cs="仿宋"/>
          <w:spacing w:val="6"/>
          <w:sz w:val="24"/>
        </w:rPr>
      </w:pPr>
      <w:r>
        <w:rPr>
          <w:rFonts w:hint="eastAsia" w:ascii="宋体" w:hAnsi="宋体" w:cs="仿宋"/>
          <w:spacing w:val="6"/>
          <w:sz w:val="24"/>
        </w:rPr>
        <w:t>本单位郑重声明，根据《财政部 民政部 中国残疾人联合会关于促进残疾人就业政府采购政策的通知》（财库</w:t>
      </w:r>
      <w:r>
        <w:rPr>
          <w:rFonts w:hint="eastAsia" w:ascii="宋体" w:hAnsi="宋体" w:cs="仿宋"/>
          <w:sz w:val="24"/>
        </w:rPr>
        <w:t>〔2017〕 141</w:t>
      </w:r>
      <w:r>
        <w:rPr>
          <w:rFonts w:hint="eastAsia" w:ascii="宋体" w:hAnsi="宋体" w:cs="仿宋"/>
          <w:spacing w:val="6"/>
          <w:sz w:val="24"/>
        </w:rPr>
        <w:t>号）的规定，本单位为符合条件的残疾人福利性单位，且本单位参加</w:t>
      </w:r>
      <w:r>
        <w:rPr>
          <w:rFonts w:hint="eastAsia" w:ascii="宋体" w:hAnsi="宋体" w:cs="仿宋"/>
          <w:sz w:val="24"/>
        </w:rPr>
        <w:t>______</w:t>
      </w:r>
      <w:r>
        <w:rPr>
          <w:rFonts w:hint="eastAsia" w:ascii="宋体" w:hAnsi="宋体" w:cs="仿宋"/>
          <w:spacing w:val="6"/>
          <w:sz w:val="24"/>
        </w:rPr>
        <w:t>单位的</w:t>
      </w:r>
      <w:r>
        <w:rPr>
          <w:rFonts w:hint="eastAsia" w:ascii="宋体" w:hAnsi="宋体" w:cs="仿宋"/>
          <w:spacing w:val="6"/>
          <w:sz w:val="24"/>
          <w:u w:val="single"/>
        </w:rPr>
        <w:t xml:space="preserve">         </w:t>
      </w:r>
      <w:r>
        <w:rPr>
          <w:rFonts w:hint="eastAsia" w:ascii="宋体" w:hAnsi="宋体" w:cs="仿宋"/>
          <w:spacing w:val="6"/>
          <w:sz w:val="24"/>
        </w:rPr>
        <w:t>项目采购活动提供本单位制造的货物（由本单位承担工程/提供服务），或者提供其他残疾人福利性单位制造的货物（不包括使用非残疾人福利性单位注册商标的货物）。</w:t>
      </w:r>
    </w:p>
    <w:p w14:paraId="2A85C018">
      <w:pPr>
        <w:spacing w:line="588" w:lineRule="exact"/>
        <w:ind w:firstLine="504"/>
        <w:rPr>
          <w:rFonts w:ascii="宋体" w:hAnsi="宋体" w:cs="仿宋"/>
          <w:spacing w:val="6"/>
          <w:sz w:val="24"/>
        </w:rPr>
      </w:pPr>
      <w:r>
        <w:rPr>
          <w:rFonts w:hint="eastAsia" w:ascii="宋体" w:hAnsi="宋体" w:cs="仿宋"/>
          <w:spacing w:val="6"/>
          <w:sz w:val="24"/>
        </w:rPr>
        <w:t>本单位对上述声明的真实性负责。如有虚假，将依法承担相应责任。</w:t>
      </w:r>
    </w:p>
    <w:p w14:paraId="61EF46B7">
      <w:pPr>
        <w:spacing w:line="588" w:lineRule="exact"/>
        <w:ind w:firstLine="504"/>
        <w:rPr>
          <w:rFonts w:ascii="宋体" w:hAnsi="宋体" w:cs="仿宋"/>
          <w:spacing w:val="6"/>
          <w:sz w:val="24"/>
        </w:rPr>
      </w:pPr>
    </w:p>
    <w:p w14:paraId="2BEEA5A6">
      <w:pPr>
        <w:spacing w:line="588" w:lineRule="exact"/>
        <w:ind w:firstLine="504"/>
        <w:rPr>
          <w:rFonts w:ascii="宋体" w:hAnsi="宋体" w:cs="仿宋"/>
          <w:spacing w:val="6"/>
          <w:sz w:val="24"/>
        </w:rPr>
      </w:pPr>
    </w:p>
    <w:p w14:paraId="2F4E0B8D">
      <w:pPr>
        <w:shd w:val="clear" w:color="auto" w:fill="FFFFFF"/>
        <w:spacing w:line="360" w:lineRule="auto"/>
        <w:ind w:firstLine="5520"/>
        <w:rPr>
          <w:rFonts w:ascii="宋体" w:hAnsi="宋体" w:cs="Arial"/>
          <w:sz w:val="24"/>
          <w:szCs w:val="24"/>
        </w:rPr>
      </w:pPr>
      <w:r>
        <w:rPr>
          <w:rFonts w:hint="eastAsia" w:ascii="宋体" w:hAnsi="宋体" w:cs="Arial"/>
          <w:sz w:val="24"/>
          <w:szCs w:val="24"/>
        </w:rPr>
        <w:t>企业名称（</w:t>
      </w:r>
      <w:r>
        <w:rPr>
          <w:rFonts w:hint="eastAsia" w:ascii="Arial" w:hAnsi="Arial" w:cs="Arial"/>
          <w:sz w:val="24"/>
        </w:rPr>
        <w:t>加盖CA电子公章</w:t>
      </w:r>
      <w:r>
        <w:rPr>
          <w:rFonts w:hint="eastAsia" w:ascii="宋体" w:hAnsi="宋体" w:cs="Arial"/>
          <w:sz w:val="24"/>
          <w:szCs w:val="24"/>
        </w:rPr>
        <w:t>）：</w:t>
      </w:r>
    </w:p>
    <w:p w14:paraId="18F21E9D">
      <w:pPr>
        <w:shd w:val="clear" w:color="auto" w:fill="FFFFFF"/>
        <w:spacing w:line="360" w:lineRule="auto"/>
        <w:ind w:firstLine="480"/>
        <w:rPr>
          <w:rFonts w:ascii="宋体" w:hAnsi="宋体" w:cs="Arial"/>
          <w:sz w:val="24"/>
          <w:szCs w:val="24"/>
        </w:rPr>
      </w:pPr>
    </w:p>
    <w:p w14:paraId="6C74EE25">
      <w:pPr>
        <w:tabs>
          <w:tab w:val="left" w:pos="1280"/>
        </w:tabs>
        <w:spacing w:line="360" w:lineRule="auto"/>
        <w:ind w:firstLine="6600"/>
        <w:rPr>
          <w:rFonts w:ascii="宋体" w:hAnsi="宋体" w:cs="Arial"/>
          <w:sz w:val="24"/>
          <w:szCs w:val="24"/>
        </w:rPr>
      </w:pPr>
      <w:r>
        <w:rPr>
          <w:rFonts w:hint="eastAsia" w:ascii="宋体" w:hAnsi="宋体" w:cs="Arial"/>
          <w:sz w:val="24"/>
          <w:szCs w:val="24"/>
        </w:rPr>
        <w:t>日 期：</w:t>
      </w:r>
    </w:p>
    <w:p w14:paraId="5AB55AB4">
      <w:pPr>
        <w:spacing w:line="360" w:lineRule="auto"/>
        <w:ind w:firstLine="470"/>
        <w:jc w:val="center"/>
        <w:rPr>
          <w:rFonts w:ascii="仿宋_GB2312" w:hAnsi="仿宋" w:eastAsia="仿宋_GB2312" w:cs="仿宋_GB2312"/>
          <w:bCs/>
          <w:sz w:val="24"/>
        </w:rPr>
      </w:pPr>
    </w:p>
    <w:p w14:paraId="51910C11">
      <w:pPr>
        <w:spacing w:line="360" w:lineRule="auto"/>
        <w:ind w:firstLine="470"/>
        <w:jc w:val="center"/>
        <w:rPr>
          <w:rFonts w:ascii="仿宋_GB2312" w:hAnsi="仿宋" w:eastAsia="仿宋_GB2312" w:cs="仿宋_GB2312"/>
          <w:bCs/>
          <w:sz w:val="24"/>
        </w:rPr>
      </w:pPr>
    </w:p>
    <w:p w14:paraId="5472C543">
      <w:pPr>
        <w:spacing w:line="360" w:lineRule="auto"/>
        <w:ind w:firstLine="470"/>
        <w:jc w:val="center"/>
        <w:rPr>
          <w:rFonts w:ascii="仿宋_GB2312" w:hAnsi="仿宋" w:eastAsia="仿宋_GB2312" w:cs="仿宋_GB2312"/>
          <w:bCs/>
          <w:sz w:val="24"/>
        </w:rPr>
      </w:pPr>
    </w:p>
    <w:p w14:paraId="070BDFD7">
      <w:pPr>
        <w:spacing w:line="360" w:lineRule="auto"/>
        <w:ind w:firstLine="470"/>
        <w:jc w:val="center"/>
        <w:rPr>
          <w:rFonts w:ascii="仿宋_GB2312" w:hAnsi="仿宋" w:eastAsia="仿宋_GB2312" w:cs="仿宋_GB2312"/>
          <w:bCs/>
          <w:sz w:val="24"/>
        </w:rPr>
      </w:pPr>
    </w:p>
    <w:p w14:paraId="36451A80">
      <w:pPr>
        <w:rPr>
          <w:rFonts w:ascii="宋体" w:hAnsi="宋体"/>
          <w:sz w:val="24"/>
        </w:rPr>
      </w:pPr>
      <w:r>
        <w:rPr>
          <w:rFonts w:hint="eastAsia" w:ascii="宋体" w:hAnsi="宋体"/>
          <w:sz w:val="24"/>
        </w:rPr>
        <w:t>注：具体以《关于促进残疾人就业政府采购政策的通知》（财库〔2017〕141号）的规定为准。</w:t>
      </w:r>
    </w:p>
    <w:p w14:paraId="6EF7C8DE">
      <w:pPr>
        <w:rPr>
          <w:rFonts w:ascii="宋体" w:hAnsi="宋体"/>
          <w:sz w:val="24"/>
        </w:rPr>
      </w:pPr>
    </w:p>
    <w:p w14:paraId="3082DD31">
      <w:pPr>
        <w:rPr>
          <w:rFonts w:ascii="宋体" w:hAnsi="宋体"/>
          <w:sz w:val="24"/>
        </w:rPr>
      </w:pPr>
    </w:p>
    <w:p w14:paraId="2C2928D2">
      <w:pPr>
        <w:rPr>
          <w:rFonts w:ascii="宋体" w:hAnsi="宋体"/>
          <w:sz w:val="24"/>
        </w:rPr>
      </w:pPr>
    </w:p>
    <w:p w14:paraId="5C055FD4">
      <w:pPr>
        <w:rPr>
          <w:rFonts w:ascii="宋体" w:hAnsi="宋体"/>
          <w:sz w:val="24"/>
        </w:rPr>
      </w:pPr>
    </w:p>
    <w:p w14:paraId="75C60B1D">
      <w:pPr>
        <w:pStyle w:val="189"/>
        <w:ind w:firstLine="0"/>
        <w:rPr>
          <w:rFonts w:ascii="Arial" w:hAnsi="Arial" w:eastAsia="宋体" w:cs="Arial"/>
        </w:rPr>
      </w:pPr>
      <w:bookmarkStart w:id="120" w:name="_Toc518356804"/>
      <w:bookmarkStart w:id="121" w:name="_Toc261612672"/>
    </w:p>
    <w:p w14:paraId="303D4F6E">
      <w:pPr>
        <w:pStyle w:val="186"/>
        <w:rPr>
          <w:rFonts w:ascii="Arial" w:hAnsi="Arial" w:cs="Arial"/>
          <w:sz w:val="24"/>
        </w:rPr>
      </w:pPr>
      <w:r>
        <w:rPr>
          <w:rFonts w:hint="eastAsia" w:ascii="宋体" w:hAnsi="宋体"/>
          <w:sz w:val="24"/>
          <w:szCs w:val="24"/>
          <w:lang w:val="en-US" w:eastAsia="zh-CN"/>
        </w:rPr>
        <w:t>9</w:t>
      </w:r>
      <w:r>
        <w:rPr>
          <w:rFonts w:hint="eastAsia" w:ascii="宋体" w:hAnsi="宋体"/>
          <w:sz w:val="24"/>
          <w:szCs w:val="24"/>
        </w:rPr>
        <w:t>、信用承诺书</w:t>
      </w:r>
    </w:p>
    <w:p w14:paraId="3F7A66C2">
      <w:pPr>
        <w:spacing w:line="348" w:lineRule="auto"/>
        <w:ind w:firstLine="480"/>
        <w:rPr>
          <w:rFonts w:ascii="宋体" w:hAnsi="宋体" w:cs="宋体"/>
          <w:sz w:val="24"/>
          <w:szCs w:val="24"/>
        </w:rPr>
      </w:pPr>
      <w:r>
        <w:rPr>
          <w:rFonts w:hint="eastAsia" w:ascii="宋体" w:hAnsi="宋体" w:cs="宋体"/>
          <w:sz w:val="24"/>
          <w:szCs w:val="24"/>
        </w:rPr>
        <w:t>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p>
    <w:p w14:paraId="18C51655">
      <w:pPr>
        <w:spacing w:line="348" w:lineRule="auto"/>
        <w:rPr>
          <w:rFonts w:hint="eastAsia" w:ascii="宋体" w:hAnsi="宋体" w:cs="宋体"/>
          <w:sz w:val="24"/>
          <w:szCs w:val="24"/>
        </w:rPr>
      </w:pPr>
      <w:r>
        <w:rPr>
          <w:rFonts w:hint="eastAsia" w:ascii="宋体" w:hAnsi="宋体" w:cs="宋体"/>
          <w:sz w:val="24"/>
          <w:szCs w:val="24"/>
        </w:rPr>
        <w:t>（http://180.101.238.212:8280/hodeframe2018_cxda/index.action;jsessionid=769BA9C8E1729422E7173B991C8EC1E5）登录（未注册的供应商应先点击‘供应商注册点这里’并按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szCs w:val="24"/>
        </w:rPr>
        <w:t>注：下载打印日期从招标公告发布起至开标前。</w:t>
      </w:r>
    </w:p>
    <w:p w14:paraId="0EC6385F">
      <w:pPr>
        <w:spacing w:line="348" w:lineRule="auto"/>
        <w:ind w:firstLine="480"/>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 </w:t>
      </w:r>
    </w:p>
    <w:p w14:paraId="2AB4AB55">
      <w:pPr>
        <w:spacing w:line="348" w:lineRule="auto"/>
        <w:ind w:firstLine="480"/>
        <w:rPr>
          <w:rFonts w:hint="eastAsia" w:ascii="宋体" w:hAnsi="宋体" w:cs="宋体"/>
          <w:sz w:val="24"/>
          <w:szCs w:val="24"/>
        </w:rPr>
      </w:pPr>
      <w:r>
        <w:rPr>
          <w:rFonts w:hint="eastAsia" w:ascii="宋体" w:hAnsi="宋体" w:cs="宋体"/>
          <w:sz w:val="24"/>
          <w:szCs w:val="24"/>
        </w:rPr>
        <w:t xml:space="preserve">（1）符合国家相关规定的财务状况报告； </w:t>
      </w:r>
    </w:p>
    <w:p w14:paraId="108B5266">
      <w:pPr>
        <w:spacing w:line="348" w:lineRule="auto"/>
        <w:ind w:firstLine="480"/>
        <w:rPr>
          <w:rFonts w:hint="eastAsia" w:ascii="宋体" w:hAnsi="宋体" w:cs="宋体"/>
          <w:sz w:val="24"/>
          <w:szCs w:val="24"/>
        </w:rPr>
      </w:pPr>
      <w:r>
        <w:rPr>
          <w:rFonts w:hint="eastAsia" w:ascii="宋体" w:hAnsi="宋体" w:cs="宋体"/>
          <w:sz w:val="24"/>
          <w:szCs w:val="24"/>
        </w:rPr>
        <w:t xml:space="preserve">（2）依法缴纳税收的证明材料； </w:t>
      </w:r>
    </w:p>
    <w:p w14:paraId="35B444E6">
      <w:pPr>
        <w:spacing w:line="348" w:lineRule="auto"/>
        <w:ind w:firstLine="480"/>
        <w:rPr>
          <w:rFonts w:hint="eastAsia" w:ascii="宋体" w:hAnsi="宋体" w:cs="宋体"/>
          <w:sz w:val="24"/>
          <w:szCs w:val="24"/>
        </w:rPr>
      </w:pPr>
      <w:r>
        <w:rPr>
          <w:rFonts w:hint="eastAsia" w:ascii="宋体" w:hAnsi="宋体" w:cs="宋体"/>
          <w:sz w:val="24"/>
          <w:szCs w:val="24"/>
        </w:rPr>
        <w:t xml:space="preserve">（3）依法缴纳社会保障资金的证明材料； </w:t>
      </w:r>
    </w:p>
    <w:p w14:paraId="3212352C">
      <w:pPr>
        <w:spacing w:line="348" w:lineRule="auto"/>
        <w:ind w:firstLine="480"/>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 </w:t>
      </w:r>
    </w:p>
    <w:p w14:paraId="307B21C7">
      <w:pPr>
        <w:spacing w:line="348" w:lineRule="auto"/>
        <w:ind w:firstLine="480"/>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 </w:t>
      </w:r>
    </w:p>
    <w:p w14:paraId="4B72FA79">
      <w:pPr>
        <w:spacing w:line="348" w:lineRule="auto"/>
        <w:ind w:firstLine="480"/>
        <w:rPr>
          <w:rFonts w:ascii="宋体" w:hAnsi="宋体" w:cs="宋体"/>
          <w:sz w:val="24"/>
          <w:szCs w:val="24"/>
        </w:rPr>
      </w:pPr>
      <w:r>
        <w:rPr>
          <w:rFonts w:hint="eastAsia" w:ascii="宋体" w:hAnsi="宋体" w:cs="宋体"/>
          <w:sz w:val="24"/>
          <w:szCs w:val="24"/>
        </w:rPr>
        <w:t>（6）未被列入失信被执行人、重大税收违法失信主体、政府采购严重违法失信行为记录名单的证明材料。</w:t>
      </w:r>
    </w:p>
    <w:p w14:paraId="1B994FEC">
      <w:pPr>
        <w:spacing w:line="348" w:lineRule="auto"/>
        <w:ind w:firstLine="480"/>
        <w:rPr>
          <w:rFonts w:ascii="宋体" w:hAnsi="宋体" w:cs="宋体"/>
          <w:sz w:val="24"/>
          <w:szCs w:val="24"/>
        </w:rPr>
      </w:pPr>
    </w:p>
    <w:p w14:paraId="3820E3D2">
      <w:pPr>
        <w:spacing w:line="348" w:lineRule="auto"/>
        <w:ind w:firstLine="480"/>
        <w:rPr>
          <w:rFonts w:ascii="宋体" w:hAnsi="宋体" w:cs="宋体"/>
          <w:sz w:val="24"/>
          <w:szCs w:val="24"/>
        </w:rPr>
      </w:pPr>
    </w:p>
    <w:p w14:paraId="5AD85B9F">
      <w:pPr>
        <w:spacing w:line="348" w:lineRule="auto"/>
        <w:ind w:firstLine="480"/>
        <w:rPr>
          <w:rFonts w:ascii="宋体" w:hAnsi="宋体" w:cs="宋体"/>
          <w:sz w:val="24"/>
          <w:szCs w:val="24"/>
        </w:rPr>
      </w:pPr>
    </w:p>
    <w:p w14:paraId="3216EF8F">
      <w:pPr>
        <w:spacing w:line="348" w:lineRule="auto"/>
        <w:ind w:firstLine="480"/>
        <w:rPr>
          <w:rFonts w:ascii="宋体" w:hAnsi="宋体" w:cs="宋体"/>
          <w:sz w:val="24"/>
          <w:szCs w:val="24"/>
        </w:rPr>
      </w:pPr>
    </w:p>
    <w:p w14:paraId="50111646">
      <w:pPr>
        <w:spacing w:line="348" w:lineRule="auto"/>
        <w:ind w:firstLine="480"/>
        <w:rPr>
          <w:rFonts w:ascii="宋体" w:hAnsi="宋体" w:cs="宋体"/>
          <w:sz w:val="24"/>
          <w:szCs w:val="24"/>
        </w:rPr>
      </w:pPr>
    </w:p>
    <w:p w14:paraId="5DBD6AEC">
      <w:pPr>
        <w:spacing w:line="348" w:lineRule="auto"/>
        <w:ind w:firstLine="480"/>
        <w:rPr>
          <w:rFonts w:ascii="宋体" w:hAnsi="宋体" w:cs="宋体"/>
          <w:sz w:val="24"/>
          <w:szCs w:val="24"/>
        </w:rPr>
      </w:pPr>
    </w:p>
    <w:p w14:paraId="68E5C2B1">
      <w:pPr>
        <w:spacing w:line="348" w:lineRule="auto"/>
        <w:ind w:firstLine="480"/>
        <w:rPr>
          <w:rFonts w:ascii="宋体" w:hAnsi="宋体" w:cs="宋体"/>
          <w:sz w:val="24"/>
          <w:szCs w:val="24"/>
        </w:rPr>
      </w:pPr>
    </w:p>
    <w:p w14:paraId="4F386663">
      <w:pPr>
        <w:spacing w:line="348" w:lineRule="auto"/>
        <w:ind w:firstLine="480"/>
        <w:rPr>
          <w:rFonts w:ascii="宋体" w:hAnsi="宋体" w:cs="宋体"/>
          <w:sz w:val="24"/>
          <w:szCs w:val="24"/>
        </w:rPr>
      </w:pPr>
    </w:p>
    <w:p w14:paraId="0C90E095">
      <w:pPr>
        <w:spacing w:line="348" w:lineRule="auto"/>
        <w:ind w:firstLine="480"/>
        <w:rPr>
          <w:rFonts w:ascii="宋体" w:hAnsi="宋体" w:cs="宋体"/>
          <w:sz w:val="24"/>
          <w:szCs w:val="24"/>
        </w:rPr>
      </w:pPr>
    </w:p>
    <w:p w14:paraId="493D2B8E">
      <w:pPr>
        <w:spacing w:line="348" w:lineRule="auto"/>
        <w:ind w:firstLine="480"/>
        <w:rPr>
          <w:rFonts w:hint="eastAsia" w:ascii="宋体" w:hAnsi="宋体" w:cs="宋体"/>
          <w:sz w:val="24"/>
          <w:szCs w:val="24"/>
        </w:rPr>
      </w:pPr>
      <w:r>
        <w:rPr>
          <w:rFonts w:hint="eastAsia" w:ascii="宋体" w:hAnsi="宋体" w:cs="宋体"/>
          <w:sz w:val="24"/>
          <w:szCs w:val="24"/>
        </w:rPr>
        <w:t xml:space="preserve"> </w:t>
      </w:r>
    </w:p>
    <w:p w14:paraId="31D8F8FF">
      <w:pPr>
        <w:rPr>
          <w:rFonts w:hint="eastAsia"/>
        </w:rPr>
      </w:pPr>
    </w:p>
    <w:p w14:paraId="5A66EC05">
      <w:pPr>
        <w:widowControl/>
        <w:shd w:val="clear" w:color="auto" w:fill="FFFFFF"/>
        <w:spacing w:line="360" w:lineRule="auto"/>
        <w:ind w:left="420"/>
        <w:jc w:val="center"/>
        <w:rPr>
          <w:rFonts w:ascii="宋体" w:hAnsi="宋体"/>
          <w:b/>
          <w:sz w:val="30"/>
          <w:szCs w:val="36"/>
        </w:rPr>
      </w:pPr>
      <w:r>
        <w:rPr>
          <w:rFonts w:hint="eastAsia" w:ascii="宋体" w:hAnsi="宋体"/>
          <w:b/>
          <w:sz w:val="30"/>
          <w:szCs w:val="36"/>
        </w:rPr>
        <w:t>南京市政府采购供应商信用承诺书</w:t>
      </w:r>
    </w:p>
    <w:p w14:paraId="19794625">
      <w:pPr>
        <w:spacing w:line="360" w:lineRule="auto"/>
        <w:ind w:firstLine="6960"/>
        <w:rPr>
          <w:rFonts w:ascii="宋体" w:hAnsi="宋体"/>
          <w:sz w:val="24"/>
          <w:szCs w:val="24"/>
        </w:rPr>
      </w:pPr>
      <w:r>
        <w:rPr>
          <w:rFonts w:ascii="宋体" w:hAnsi="宋体"/>
          <w:sz w:val="24"/>
          <w:szCs w:val="24"/>
        </w:rPr>
        <w:t xml:space="preserve">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日</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93"/>
        <w:gridCol w:w="2293"/>
        <w:gridCol w:w="2293"/>
        <w:gridCol w:w="2294"/>
      </w:tblGrid>
      <w:tr w14:paraId="2C4B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2293" w:type="dxa"/>
            <w:noWrap w:val="0"/>
            <w:vAlign w:val="center"/>
          </w:tcPr>
          <w:p w14:paraId="3C46601D">
            <w:pPr>
              <w:spacing w:line="360" w:lineRule="auto"/>
              <w:rPr>
                <w:rFonts w:hint="eastAsia" w:ascii="宋体" w:hAnsi="宋体"/>
                <w:sz w:val="24"/>
                <w:szCs w:val="24"/>
              </w:rPr>
            </w:pPr>
            <w:r>
              <w:rPr>
                <w:rFonts w:hint="eastAsia" w:ascii="宋体" w:hAnsi="宋体"/>
                <w:sz w:val="24"/>
                <w:szCs w:val="24"/>
              </w:rPr>
              <w:t>单位名称</w:t>
            </w:r>
          </w:p>
        </w:tc>
        <w:tc>
          <w:tcPr>
            <w:tcW w:w="2293" w:type="dxa"/>
            <w:noWrap w:val="0"/>
            <w:vAlign w:val="top"/>
          </w:tcPr>
          <w:p w14:paraId="2EB552FB">
            <w:pPr>
              <w:spacing w:line="360" w:lineRule="auto"/>
              <w:rPr>
                <w:rFonts w:hint="eastAsia" w:ascii="宋体" w:hAnsi="宋体"/>
                <w:sz w:val="24"/>
                <w:szCs w:val="24"/>
              </w:rPr>
            </w:pPr>
          </w:p>
        </w:tc>
        <w:tc>
          <w:tcPr>
            <w:tcW w:w="2293" w:type="dxa"/>
            <w:noWrap w:val="0"/>
            <w:vAlign w:val="center"/>
          </w:tcPr>
          <w:p w14:paraId="72255B07">
            <w:pPr>
              <w:spacing w:line="360" w:lineRule="auto"/>
              <w:rPr>
                <w:rFonts w:hint="eastAsia" w:ascii="宋体" w:hAnsi="宋体"/>
                <w:sz w:val="24"/>
                <w:szCs w:val="24"/>
              </w:rPr>
            </w:pPr>
            <w:r>
              <w:rPr>
                <w:rFonts w:hint="eastAsia" w:ascii="宋体" w:hAnsi="宋体"/>
                <w:sz w:val="24"/>
                <w:szCs w:val="24"/>
              </w:rPr>
              <w:t>统一社会信用代码</w:t>
            </w:r>
          </w:p>
        </w:tc>
        <w:tc>
          <w:tcPr>
            <w:tcW w:w="2294" w:type="dxa"/>
            <w:noWrap w:val="0"/>
            <w:vAlign w:val="top"/>
          </w:tcPr>
          <w:p w14:paraId="47ABB370">
            <w:pPr>
              <w:spacing w:line="360" w:lineRule="auto"/>
              <w:rPr>
                <w:rFonts w:hint="eastAsia" w:ascii="宋体" w:hAnsi="宋体"/>
                <w:sz w:val="24"/>
                <w:szCs w:val="24"/>
              </w:rPr>
            </w:pPr>
          </w:p>
        </w:tc>
      </w:tr>
      <w:tr w14:paraId="49C7A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2293" w:type="dxa"/>
            <w:noWrap w:val="0"/>
            <w:vAlign w:val="center"/>
          </w:tcPr>
          <w:p w14:paraId="5BBE4A15">
            <w:pPr>
              <w:spacing w:line="360" w:lineRule="auto"/>
              <w:rPr>
                <w:rFonts w:hint="eastAsia" w:ascii="宋体" w:hAnsi="宋体"/>
                <w:sz w:val="24"/>
                <w:szCs w:val="24"/>
              </w:rPr>
            </w:pPr>
            <w:r>
              <w:rPr>
                <w:rFonts w:hint="eastAsia" w:ascii="宋体" w:hAnsi="宋体"/>
                <w:sz w:val="24"/>
                <w:szCs w:val="24"/>
              </w:rPr>
              <w:t>法定代表人</w:t>
            </w:r>
          </w:p>
        </w:tc>
        <w:tc>
          <w:tcPr>
            <w:tcW w:w="2293" w:type="dxa"/>
            <w:noWrap w:val="0"/>
            <w:vAlign w:val="top"/>
          </w:tcPr>
          <w:p w14:paraId="71AC7009">
            <w:pPr>
              <w:spacing w:line="360" w:lineRule="auto"/>
              <w:rPr>
                <w:rFonts w:hint="eastAsia" w:ascii="宋体" w:hAnsi="宋体"/>
                <w:sz w:val="24"/>
                <w:szCs w:val="24"/>
              </w:rPr>
            </w:pPr>
          </w:p>
        </w:tc>
        <w:tc>
          <w:tcPr>
            <w:tcW w:w="2293" w:type="dxa"/>
            <w:noWrap w:val="0"/>
            <w:vAlign w:val="center"/>
          </w:tcPr>
          <w:p w14:paraId="0B00233E">
            <w:pPr>
              <w:spacing w:line="360" w:lineRule="auto"/>
              <w:rPr>
                <w:rFonts w:hint="eastAsia" w:ascii="宋体" w:hAnsi="宋体"/>
                <w:sz w:val="24"/>
                <w:szCs w:val="24"/>
              </w:rPr>
            </w:pPr>
            <w:r>
              <w:rPr>
                <w:rFonts w:hint="eastAsia" w:ascii="宋体" w:hAnsi="宋体"/>
                <w:sz w:val="24"/>
                <w:szCs w:val="24"/>
              </w:rPr>
              <w:t>联系人</w:t>
            </w:r>
          </w:p>
        </w:tc>
        <w:tc>
          <w:tcPr>
            <w:tcW w:w="2294" w:type="dxa"/>
            <w:noWrap w:val="0"/>
            <w:vAlign w:val="top"/>
          </w:tcPr>
          <w:p w14:paraId="4EFC70C7">
            <w:pPr>
              <w:spacing w:line="360" w:lineRule="auto"/>
              <w:rPr>
                <w:rFonts w:hint="eastAsia" w:ascii="宋体" w:hAnsi="宋体"/>
                <w:sz w:val="24"/>
                <w:szCs w:val="24"/>
              </w:rPr>
            </w:pPr>
          </w:p>
        </w:tc>
      </w:tr>
      <w:tr w14:paraId="3042A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2293" w:type="dxa"/>
            <w:noWrap w:val="0"/>
            <w:vAlign w:val="center"/>
          </w:tcPr>
          <w:p w14:paraId="2196D32F">
            <w:pPr>
              <w:spacing w:line="360" w:lineRule="auto"/>
              <w:rPr>
                <w:rFonts w:hint="eastAsia" w:ascii="宋体" w:hAnsi="宋体"/>
                <w:sz w:val="24"/>
                <w:szCs w:val="24"/>
              </w:rPr>
            </w:pPr>
            <w:r>
              <w:rPr>
                <w:rFonts w:hint="eastAsia" w:ascii="宋体" w:hAnsi="宋体"/>
                <w:sz w:val="24"/>
                <w:szCs w:val="24"/>
              </w:rPr>
              <w:t>联系地址</w:t>
            </w:r>
          </w:p>
        </w:tc>
        <w:tc>
          <w:tcPr>
            <w:tcW w:w="2293" w:type="dxa"/>
            <w:noWrap w:val="0"/>
            <w:vAlign w:val="top"/>
          </w:tcPr>
          <w:p w14:paraId="1F297AA3">
            <w:pPr>
              <w:spacing w:line="360" w:lineRule="auto"/>
              <w:rPr>
                <w:rFonts w:hint="eastAsia" w:ascii="宋体" w:hAnsi="宋体"/>
                <w:sz w:val="24"/>
                <w:szCs w:val="24"/>
              </w:rPr>
            </w:pPr>
          </w:p>
        </w:tc>
        <w:tc>
          <w:tcPr>
            <w:tcW w:w="2293" w:type="dxa"/>
            <w:noWrap w:val="0"/>
            <w:vAlign w:val="center"/>
          </w:tcPr>
          <w:p w14:paraId="580F41F7">
            <w:pPr>
              <w:spacing w:line="360" w:lineRule="auto"/>
              <w:rPr>
                <w:rFonts w:hint="eastAsia" w:ascii="宋体" w:hAnsi="宋体"/>
                <w:sz w:val="24"/>
                <w:szCs w:val="24"/>
              </w:rPr>
            </w:pPr>
            <w:r>
              <w:rPr>
                <w:rFonts w:hint="eastAsia" w:ascii="宋体" w:hAnsi="宋体"/>
                <w:sz w:val="24"/>
                <w:szCs w:val="24"/>
              </w:rPr>
              <w:t>联系电话</w:t>
            </w:r>
          </w:p>
        </w:tc>
        <w:tc>
          <w:tcPr>
            <w:tcW w:w="2294" w:type="dxa"/>
            <w:noWrap w:val="0"/>
            <w:vAlign w:val="top"/>
          </w:tcPr>
          <w:p w14:paraId="2A9AD3C5">
            <w:pPr>
              <w:spacing w:line="360" w:lineRule="auto"/>
              <w:rPr>
                <w:rFonts w:hint="eastAsia" w:ascii="宋体" w:hAnsi="宋体"/>
                <w:sz w:val="24"/>
                <w:szCs w:val="24"/>
              </w:rPr>
            </w:pPr>
          </w:p>
        </w:tc>
      </w:tr>
      <w:tr w14:paraId="08519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8" w:hRule="atLeast"/>
        </w:trPr>
        <w:tc>
          <w:tcPr>
            <w:tcW w:w="2293" w:type="dxa"/>
            <w:noWrap w:val="0"/>
            <w:vAlign w:val="center"/>
          </w:tcPr>
          <w:p w14:paraId="51D6391C">
            <w:pPr>
              <w:spacing w:line="360" w:lineRule="auto"/>
              <w:rPr>
                <w:rFonts w:hint="eastAsia" w:ascii="宋体" w:hAnsi="宋体"/>
                <w:sz w:val="24"/>
                <w:szCs w:val="24"/>
              </w:rPr>
            </w:pPr>
            <w:r>
              <w:rPr>
                <w:rFonts w:hint="eastAsia" w:ascii="宋体" w:hAnsi="宋体"/>
                <w:sz w:val="24"/>
                <w:szCs w:val="24"/>
              </w:rPr>
              <w:t>诚信档案记录情况</w:t>
            </w:r>
          </w:p>
        </w:tc>
        <w:tc>
          <w:tcPr>
            <w:tcW w:w="6880" w:type="dxa"/>
            <w:gridSpan w:val="3"/>
            <w:noWrap w:val="0"/>
            <w:vAlign w:val="top"/>
          </w:tcPr>
          <w:p w14:paraId="36B78D96">
            <w:pPr>
              <w:spacing w:line="360" w:lineRule="auto"/>
              <w:rPr>
                <w:rFonts w:hint="eastAsia" w:ascii="宋体" w:hAnsi="宋体"/>
                <w:sz w:val="24"/>
                <w:szCs w:val="24"/>
              </w:rPr>
            </w:pPr>
          </w:p>
        </w:tc>
      </w:tr>
      <w:tr w14:paraId="3ABCF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8" w:hRule="atLeast"/>
        </w:trPr>
        <w:tc>
          <w:tcPr>
            <w:tcW w:w="2293" w:type="dxa"/>
            <w:noWrap w:val="0"/>
            <w:vAlign w:val="center"/>
          </w:tcPr>
          <w:p w14:paraId="213FAF8B">
            <w:pPr>
              <w:spacing w:line="360" w:lineRule="auto"/>
              <w:rPr>
                <w:rFonts w:hint="eastAsia" w:ascii="宋体" w:hAnsi="宋体"/>
                <w:sz w:val="24"/>
                <w:szCs w:val="24"/>
              </w:rPr>
            </w:pPr>
            <w:r>
              <w:rPr>
                <w:rFonts w:hint="eastAsia" w:ascii="宋体" w:hAnsi="宋体"/>
                <w:sz w:val="24"/>
                <w:szCs w:val="24"/>
              </w:rPr>
              <w:t>信用承诺</w:t>
            </w:r>
          </w:p>
        </w:tc>
        <w:tc>
          <w:tcPr>
            <w:tcW w:w="6880" w:type="dxa"/>
            <w:gridSpan w:val="3"/>
            <w:noWrap w:val="0"/>
            <w:vAlign w:val="top"/>
          </w:tcPr>
          <w:p w14:paraId="30D18C6E">
            <w:pPr>
              <w:spacing w:line="360" w:lineRule="auto"/>
              <w:rPr>
                <w:rFonts w:ascii="宋体" w:hAnsi="宋体"/>
                <w:sz w:val="24"/>
                <w:szCs w:val="24"/>
              </w:rPr>
            </w:pPr>
            <w:r>
              <w:rPr>
                <w:rFonts w:hint="eastAsia" w:ascii="宋体" w:hAnsi="宋体"/>
                <w:sz w:val="24"/>
                <w:szCs w:val="24"/>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督部门和有权机关的审查和处罚。</w:t>
            </w:r>
          </w:p>
          <w:p w14:paraId="3F646DC3">
            <w:pPr>
              <w:spacing w:line="360" w:lineRule="auto"/>
              <w:rPr>
                <w:rFonts w:hint="eastAsia" w:ascii="宋体" w:hAnsi="宋体"/>
                <w:sz w:val="24"/>
                <w:szCs w:val="24"/>
              </w:rPr>
            </w:pPr>
          </w:p>
          <w:p w14:paraId="55ABA304">
            <w:pPr>
              <w:spacing w:line="360" w:lineRule="auto"/>
              <w:ind w:firstLine="3120"/>
              <w:rPr>
                <w:rFonts w:ascii="宋体" w:hAnsi="宋体"/>
                <w:sz w:val="24"/>
                <w:szCs w:val="24"/>
              </w:rPr>
            </w:pPr>
            <w:r>
              <w:rPr>
                <w:rFonts w:hint="eastAsia" w:ascii="宋体" w:hAnsi="宋体"/>
                <w:sz w:val="24"/>
                <w:szCs w:val="24"/>
              </w:rPr>
              <w:t>供应商名称（</w:t>
            </w:r>
            <w:r>
              <w:rPr>
                <w:rFonts w:hint="eastAsia" w:ascii="Arial" w:hAnsi="Arial" w:cs="Arial"/>
                <w:sz w:val="24"/>
              </w:rPr>
              <w:t>加盖CA电子公章</w:t>
            </w:r>
            <w:r>
              <w:rPr>
                <w:rFonts w:hint="eastAsia" w:ascii="宋体" w:hAnsi="宋体"/>
                <w:sz w:val="24"/>
                <w:szCs w:val="24"/>
              </w:rPr>
              <w:t>）：</w:t>
            </w:r>
          </w:p>
          <w:p w14:paraId="44283BAF">
            <w:pPr>
              <w:spacing w:line="360" w:lineRule="auto"/>
              <w:ind w:firstLine="3360"/>
              <w:rPr>
                <w:rFonts w:ascii="宋体" w:hAnsi="宋体"/>
                <w:sz w:val="24"/>
                <w:szCs w:val="24"/>
              </w:rPr>
            </w:pPr>
            <w:r>
              <w:rPr>
                <w:rFonts w:hint="eastAsia" w:ascii="宋体" w:hAnsi="宋体"/>
                <w:sz w:val="24"/>
                <w:szCs w:val="24"/>
              </w:rPr>
              <w:t>法定代表人（签字）：</w:t>
            </w:r>
          </w:p>
          <w:p w14:paraId="495762B7">
            <w:pPr>
              <w:spacing w:line="360" w:lineRule="auto"/>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日</w:t>
            </w:r>
          </w:p>
        </w:tc>
      </w:tr>
    </w:tbl>
    <w:p w14:paraId="7B6E4582">
      <w:pPr>
        <w:rPr>
          <w:rFonts w:ascii="宋体" w:hAnsi="宋体"/>
          <w:sz w:val="24"/>
        </w:rPr>
      </w:pPr>
    </w:p>
    <w:p w14:paraId="15D36D88">
      <w:pPr>
        <w:rPr>
          <w:rFonts w:ascii="宋体" w:hAnsi="宋体"/>
          <w:sz w:val="24"/>
        </w:rPr>
      </w:pPr>
    </w:p>
    <w:p w14:paraId="725CD3C7">
      <w:pPr>
        <w:pStyle w:val="186"/>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0</w:t>
      </w:r>
      <w:r>
        <w:rPr>
          <w:rFonts w:hint="eastAsia" w:ascii="宋体" w:hAnsi="宋体"/>
          <w:sz w:val="24"/>
          <w:szCs w:val="24"/>
        </w:rPr>
        <w:t>、服务方案（格式自拟）</w:t>
      </w:r>
    </w:p>
    <w:p w14:paraId="6640B3E7"/>
    <w:p w14:paraId="7F2AF0D0"/>
    <w:p w14:paraId="10BF7866">
      <w:pPr>
        <w:rPr>
          <w:rFonts w:hint="eastAsia"/>
        </w:rPr>
      </w:pPr>
    </w:p>
    <w:p w14:paraId="5B69A600"/>
    <w:p w14:paraId="3151DAE3"/>
    <w:p w14:paraId="61E87818"/>
    <w:p w14:paraId="612EA3F3"/>
    <w:p w14:paraId="1582D282"/>
    <w:p w14:paraId="67B96045">
      <w:pPr>
        <w:rPr>
          <w:rFonts w:hint="eastAsia"/>
        </w:rPr>
      </w:pPr>
    </w:p>
    <w:bookmarkEnd w:id="120"/>
    <w:bookmarkEnd w:id="121"/>
    <w:p w14:paraId="1835D91E">
      <w:pPr>
        <w:pStyle w:val="186"/>
        <w:rPr>
          <w:rFonts w:hint="eastAsia" w:ascii="宋体" w:hAnsi="宋体"/>
          <w:sz w:val="24"/>
          <w:szCs w:val="24"/>
        </w:rPr>
      </w:pPr>
      <w:bookmarkStart w:id="122" w:name="_Toc4348"/>
      <w:r>
        <w:rPr>
          <w:rFonts w:hint="eastAsia" w:ascii="宋体" w:hAnsi="宋体"/>
          <w:sz w:val="24"/>
          <w:szCs w:val="24"/>
        </w:rPr>
        <w:t>1</w:t>
      </w:r>
      <w:r>
        <w:rPr>
          <w:rFonts w:hint="eastAsia" w:ascii="宋体" w:hAnsi="宋体"/>
          <w:sz w:val="24"/>
          <w:szCs w:val="24"/>
          <w:lang w:val="en-US" w:eastAsia="zh-CN"/>
        </w:rPr>
        <w:t>0</w:t>
      </w:r>
      <w:r>
        <w:rPr>
          <w:rFonts w:hint="eastAsia" w:ascii="宋体" w:hAnsi="宋体"/>
          <w:sz w:val="24"/>
          <w:szCs w:val="24"/>
        </w:rPr>
        <w:t>、投标人认为需要提供的其它资料</w:t>
      </w:r>
      <w:bookmarkEnd w:id="122"/>
    </w:p>
    <w:p w14:paraId="5B7BE4C3">
      <w:pPr>
        <w:pBdr>
          <w:top w:val="none" w:color="000000" w:sz="0" w:space="0"/>
          <w:left w:val="none" w:color="000000" w:sz="0" w:space="0"/>
          <w:bottom w:val="none" w:color="000000" w:sz="0" w:space="0"/>
          <w:right w:val="none" w:color="000000" w:sz="0" w:space="0"/>
        </w:pBdr>
        <w:jc w:val="center"/>
        <w:rPr>
          <w:rFonts w:hint="eastAsia" w:ascii="宋体" w:hAnsi="宋体" w:cs="宋体"/>
          <w:sz w:val="28"/>
          <w:szCs w:val="28"/>
        </w:rPr>
      </w:pPr>
      <w:r>
        <w:rPr>
          <w:rFonts w:hint="eastAsia" w:ascii="宋体" w:hAnsi="宋体" w:cs="宋体"/>
          <w:sz w:val="28"/>
          <w:szCs w:val="28"/>
        </w:rPr>
        <w:t>（评分或招标文件中要求提供的材料，格式自拟）</w:t>
      </w:r>
    </w:p>
    <w:p w14:paraId="55B4D768">
      <w:pPr>
        <w:tabs>
          <w:tab w:val="left" w:pos="8200"/>
        </w:tabs>
        <w:spacing w:line="360" w:lineRule="auto"/>
        <w:rPr>
          <w:rFonts w:hint="eastAsia" w:ascii="宋体" w:hAnsi="宋体" w:cs="宋体"/>
          <w:bCs/>
        </w:rPr>
      </w:pPr>
    </w:p>
    <w:sectPr>
      <w:footerReference r:id="rId3" w:type="default"/>
      <w:footerReference r:id="rId4" w:type="even"/>
      <w:pgSz w:w="11906" w:h="16838"/>
      <w:pgMar w:top="1418" w:right="1361" w:bottom="1361" w:left="1588" w:header="851" w:footer="992" w:gutter="0"/>
      <w:pgBorders>
        <w:top w:val="none" w:sz="0" w:space="0"/>
        <w:left w:val="none" w:sz="0" w:space="0"/>
        <w:bottom w:val="none" w:sz="0" w:space="0"/>
        <w:right w:val="none" w:sz="0" w:space="0"/>
      </w:pgBorders>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816C8">
    <w:pPr>
      <w:pStyle w:val="194"/>
      <w:framePr w:wrap="around" w:vAnchor="text" w:hAnchor="margin" w:xAlign="center" w:y="1"/>
      <w:rPr>
        <w:rStyle w:val="202"/>
        <w:rFonts w:ascii="宋体" w:hAnsi="宋体"/>
      </w:rPr>
    </w:pPr>
    <w:r>
      <w:rPr>
        <w:rFonts w:ascii="宋体" w:hAnsi="宋体"/>
      </w:rPr>
      <w:fldChar w:fldCharType="begin"/>
    </w:r>
    <w:r>
      <w:rPr>
        <w:rStyle w:val="202"/>
        <w:rFonts w:ascii="宋体" w:hAnsi="宋体"/>
      </w:rPr>
      <w:instrText xml:space="preserve">PAGE  </w:instrText>
    </w:r>
    <w:r>
      <w:rPr>
        <w:rFonts w:ascii="宋体" w:hAnsi="宋体"/>
      </w:rPr>
      <w:fldChar w:fldCharType="separate"/>
    </w:r>
    <w:r>
      <w:rPr>
        <w:rStyle w:val="202"/>
        <w:rFonts w:ascii="宋体" w:hAnsi="宋体"/>
      </w:rPr>
      <w:t>6</w:t>
    </w:r>
    <w:r>
      <w:rPr>
        <w:rFonts w:ascii="宋体" w:hAnsi="宋体"/>
      </w:rPr>
      <w:fldChar w:fldCharType="end"/>
    </w:r>
  </w:p>
  <w:p w14:paraId="316E5648">
    <w:pP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A79CF">
    <w:pPr>
      <w:pStyle w:val="194"/>
      <w:framePr w:wrap="around" w:vAnchor="text" w:hAnchor="margin" w:xAlign="center" w:y="1"/>
      <w:rPr>
        <w:rStyle w:val="202"/>
      </w:rPr>
    </w:pPr>
    <w:r>
      <w:fldChar w:fldCharType="begin"/>
    </w:r>
    <w:r>
      <w:rPr>
        <w:rStyle w:val="202"/>
      </w:rPr>
      <w:instrText xml:space="preserve">PAGE  </w:instrText>
    </w:r>
    <w:r>
      <w:fldChar w:fldCharType="end"/>
    </w:r>
  </w:p>
  <w:p w14:paraId="0EC1C328">
    <w:pPr>
      <w:pStyle w:val="194"/>
    </w:pPr>
  </w:p>
  <w:p w14:paraId="3202618D"/>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D803D4"/>
    <w:rsid w:val="0B0B4841"/>
    <w:rsid w:val="0D705975"/>
    <w:rsid w:val="10FF1EB7"/>
    <w:rsid w:val="19E75211"/>
    <w:rsid w:val="1D420FDF"/>
    <w:rsid w:val="201E22EA"/>
    <w:rsid w:val="263253B1"/>
    <w:rsid w:val="271B474C"/>
    <w:rsid w:val="39C742BF"/>
    <w:rsid w:val="43664B49"/>
    <w:rsid w:val="47213261"/>
    <w:rsid w:val="4977185E"/>
    <w:rsid w:val="4A657777"/>
    <w:rsid w:val="563F3703"/>
    <w:rsid w:val="5862192B"/>
    <w:rsid w:val="5DD55EB6"/>
    <w:rsid w:val="669E6224"/>
    <w:rsid w:val="6E8A4460"/>
    <w:rsid w:val="717C7963"/>
    <w:rsid w:val="77E912C9"/>
    <w:rsid w:val="7EB51F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9"/>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semiHidden/>
    <w:qFormat/>
    <w:uiPriority w:val="0"/>
    <w:rPr>
      <w:rFonts w:ascii="Arial" w:hAnsi="Arial" w:eastAsia="Arial" w:cs="Arial"/>
      <w:sz w:val="21"/>
      <w:szCs w:val="21"/>
      <w:lang w:val="en-US" w:eastAsia="en-US" w:bidi="ar-SA"/>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eastAsia="楷体_GB2312"/>
      <w:sz w:val="26"/>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paragraph" w:styleId="30">
    <w:name w:val="Body Text First Indent"/>
    <w:basedOn w:val="13"/>
    <w:qFormat/>
    <w:uiPriority w:val="0"/>
    <w:pPr>
      <w:ind w:firstLine="420" w:firstLineChars="100"/>
    </w:pPr>
    <w:rPr>
      <w:rFonts w:ascii="宋体" w:hAnsi="宋体" w:eastAsia="方正仿宋_GBK" w:cs="宋体"/>
      <w:kern w:val="28"/>
      <w:position w:val="6"/>
      <w:szCs w:val="28"/>
    </w:rPr>
  </w:style>
  <w:style w:type="table" w:styleId="3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uiPriority w:val="99"/>
    <w:rPr>
      <w:sz w:val="18"/>
    </w:rPr>
  </w:style>
  <w:style w:type="character" w:customStyle="1" w:styleId="183">
    <w:name w:val="Endnote Text Char"/>
    <w:link w:val="18"/>
    <w:uiPriority w:val="99"/>
    <w:rPr>
      <w:sz w:val="20"/>
    </w:rPr>
  </w:style>
  <w:style w:type="paragraph" w:customStyle="1" w:styleId="184">
    <w:name w:val="TOC Heading"/>
    <w:unhideWhenUsed/>
    <w:uiPriority w:val="39"/>
    <w:rPr>
      <w:rFonts w:hint="default" w:ascii="Times New Roman" w:hAnsi="Times New Roman" w:eastAsia="宋体" w:cs="Times New Roman"/>
    </w:rPr>
  </w:style>
  <w:style w:type="paragraph" w:customStyle="1" w:styleId="185">
    <w:name w:val="标题 11"/>
    <w:basedOn w:val="1"/>
    <w:next w:val="1"/>
    <w:qFormat/>
    <w:uiPriority w:val="9"/>
    <w:pPr>
      <w:keepNext/>
      <w:keepLines/>
      <w:spacing w:before="340" w:after="330" w:line="576" w:lineRule="auto"/>
      <w:outlineLvl w:val="0"/>
    </w:pPr>
    <w:rPr>
      <w:b/>
      <w:sz w:val="44"/>
    </w:rPr>
  </w:style>
  <w:style w:type="paragraph" w:customStyle="1" w:styleId="186">
    <w:name w:val="标题 31"/>
    <w:basedOn w:val="1"/>
    <w:next w:val="1"/>
    <w:qFormat/>
    <w:uiPriority w:val="9"/>
    <w:pPr>
      <w:keepNext/>
      <w:keepLines/>
      <w:spacing w:before="260" w:after="260" w:line="413" w:lineRule="auto"/>
      <w:outlineLvl w:val="2"/>
    </w:pPr>
    <w:rPr>
      <w:b/>
      <w:sz w:val="32"/>
    </w:rPr>
  </w:style>
  <w:style w:type="character" w:customStyle="1" w:styleId="187">
    <w:name w:val="默认段落字体1"/>
    <w:link w:val="1"/>
    <w:semiHidden/>
    <w:uiPriority w:val="0"/>
  </w:style>
  <w:style w:type="table" w:customStyle="1" w:styleId="188">
    <w:name w:val="普通表格1"/>
    <w:semiHidden/>
    <w:uiPriority w:val="0"/>
  </w:style>
  <w:style w:type="paragraph" w:customStyle="1" w:styleId="189">
    <w:name w:val="正文缩进1"/>
    <w:basedOn w:val="1"/>
    <w:qFormat/>
    <w:uiPriority w:val="0"/>
    <w:pPr>
      <w:ind w:firstLine="420"/>
    </w:pPr>
    <w:rPr>
      <w:rFonts w:eastAsia="楷体_GB2312"/>
      <w:sz w:val="24"/>
    </w:rPr>
  </w:style>
  <w:style w:type="paragraph" w:customStyle="1" w:styleId="190">
    <w:name w:val="批注文字1"/>
    <w:basedOn w:val="1"/>
    <w:uiPriority w:val="0"/>
    <w:pPr>
      <w:jc w:val="left"/>
    </w:pPr>
  </w:style>
  <w:style w:type="paragraph" w:customStyle="1" w:styleId="191">
    <w:name w:val="正文文本1"/>
    <w:basedOn w:val="1"/>
    <w:uiPriority w:val="0"/>
    <w:rPr>
      <w:rFonts w:ascii="方正大黑简体" w:eastAsia="方正大黑简体"/>
      <w:position w:val="6"/>
      <w:sz w:val="30"/>
    </w:rPr>
  </w:style>
  <w:style w:type="paragraph" w:customStyle="1" w:styleId="192">
    <w:name w:val="正文文本缩进1"/>
    <w:basedOn w:val="1"/>
    <w:uiPriority w:val="0"/>
    <w:pPr>
      <w:spacing w:line="520" w:lineRule="exact"/>
      <w:ind w:left="570"/>
    </w:pPr>
    <w:rPr>
      <w:rFonts w:ascii="方正仿宋简体" w:hAnsi="创艺简仿宋" w:eastAsia="方正仿宋简体"/>
      <w:sz w:val="24"/>
    </w:rPr>
  </w:style>
  <w:style w:type="paragraph" w:customStyle="1" w:styleId="193">
    <w:name w:val="纯文本11"/>
    <w:basedOn w:val="1"/>
    <w:qFormat/>
    <w:uiPriority w:val="0"/>
    <w:rPr>
      <w:rFonts w:ascii="宋体" w:hAnsi="Courier New" w:eastAsia="楷体_GB2312"/>
      <w:sz w:val="28"/>
    </w:rPr>
  </w:style>
  <w:style w:type="paragraph" w:customStyle="1" w:styleId="194">
    <w:name w:val="页脚1"/>
    <w:basedOn w:val="1"/>
    <w:uiPriority w:val="99"/>
    <w:pPr>
      <w:tabs>
        <w:tab w:val="center" w:pos="4153"/>
        <w:tab w:val="right" w:pos="8306"/>
      </w:tabs>
    </w:pPr>
    <w:rPr>
      <w:rFonts w:ascii="Calibri" w:hAnsi="Calibri"/>
      <w:sz w:val="18"/>
    </w:rPr>
  </w:style>
  <w:style w:type="paragraph" w:customStyle="1" w:styleId="195">
    <w:name w:val="页眉1"/>
    <w:basedOn w:val="1"/>
    <w:link w:val="196"/>
    <w:uiPriority w:val="0"/>
    <w:pPr>
      <w:tabs>
        <w:tab w:val="center" w:pos="4153"/>
        <w:tab w:val="right" w:pos="8306"/>
      </w:tabs>
      <w:jc w:val="center"/>
    </w:pPr>
    <w:rPr>
      <w:sz w:val="18"/>
      <w:szCs w:val="18"/>
    </w:rPr>
  </w:style>
  <w:style w:type="character" w:customStyle="1" w:styleId="196">
    <w:name w:val="页眉 字符"/>
    <w:link w:val="195"/>
    <w:uiPriority w:val="0"/>
    <w:rPr>
      <w:sz w:val="18"/>
      <w:szCs w:val="18"/>
    </w:rPr>
  </w:style>
  <w:style w:type="paragraph" w:customStyle="1" w:styleId="197">
    <w:name w:val="目录 11"/>
    <w:basedOn w:val="1"/>
    <w:next w:val="1"/>
    <w:qFormat/>
    <w:uiPriority w:val="39"/>
    <w:pPr>
      <w:tabs>
        <w:tab w:val="right" w:leader="dot" w:pos="8302"/>
      </w:tabs>
      <w:spacing w:before="120" w:after="120"/>
    </w:pPr>
    <w:rPr>
      <w:rFonts w:ascii="宋体" w:hAnsi="宋体" w:eastAsia="黑体"/>
      <w:caps/>
      <w:sz w:val="20"/>
    </w:rPr>
  </w:style>
  <w:style w:type="paragraph" w:customStyle="1" w:styleId="198">
    <w:name w:val="普通(网站)1"/>
    <w:basedOn w:val="1"/>
    <w:qFormat/>
    <w:uiPriority w:val="99"/>
    <w:pPr>
      <w:widowControl/>
      <w:spacing w:before="100" w:beforeAutospacing="1" w:after="100" w:afterAutospacing="1"/>
    </w:pPr>
    <w:rPr>
      <w:rFonts w:hint="eastAsia" w:ascii="宋体" w:hAnsi="宋体"/>
      <w:sz w:val="24"/>
    </w:rPr>
  </w:style>
  <w:style w:type="paragraph" w:customStyle="1" w:styleId="199">
    <w:name w:val="正文首行缩进 21"/>
    <w:basedOn w:val="192"/>
    <w:uiPriority w:val="0"/>
    <w:pPr>
      <w:spacing w:after="120" w:line="240" w:lineRule="auto"/>
      <w:ind w:left="420" w:firstLine="420"/>
    </w:pPr>
    <w:rPr>
      <w:rFonts w:ascii="Times New Roman" w:hAnsi="Times New Roman" w:eastAsia="宋体"/>
      <w:sz w:val="21"/>
    </w:rPr>
  </w:style>
  <w:style w:type="table" w:customStyle="1" w:styleId="200">
    <w:name w:val="网格型1"/>
    <w:basedOn w:val="188"/>
    <w:unhideWhenUsed/>
    <w:qFormat/>
    <w:uiPriority w:val="99"/>
  </w:style>
  <w:style w:type="character" w:customStyle="1" w:styleId="201">
    <w:name w:val="要点1"/>
    <w:basedOn w:val="187"/>
    <w:link w:val="1"/>
    <w:qFormat/>
    <w:uiPriority w:val="0"/>
    <w:rPr>
      <w:b/>
    </w:rPr>
  </w:style>
  <w:style w:type="character" w:customStyle="1" w:styleId="202">
    <w:name w:val="页码1"/>
    <w:link w:val="1"/>
    <w:uiPriority w:val="0"/>
  </w:style>
  <w:style w:type="character" w:customStyle="1" w:styleId="203">
    <w:name w:val="强调1"/>
    <w:link w:val="1"/>
    <w:qFormat/>
    <w:uiPriority w:val="0"/>
    <w:rPr>
      <w:i/>
    </w:rPr>
  </w:style>
  <w:style w:type="character" w:customStyle="1" w:styleId="204">
    <w:name w:val="超链接1"/>
    <w:link w:val="1"/>
    <w:uiPriority w:val="99"/>
    <w:rPr>
      <w:color w:val="0000FF"/>
      <w:u w:val="single"/>
    </w:rPr>
  </w:style>
  <w:style w:type="character" w:customStyle="1" w:styleId="205">
    <w:name w:val="批注引用1"/>
    <w:link w:val="1"/>
    <w:qFormat/>
    <w:uiPriority w:val="0"/>
    <w:rPr>
      <w:sz w:val="21"/>
    </w:rPr>
  </w:style>
  <w:style w:type="character" w:customStyle="1" w:styleId="206">
    <w:name w:val="已访问的超链接1"/>
    <w:link w:val="1"/>
    <w:uiPriority w:val="0"/>
    <w:rPr>
      <w:color w:val="800080"/>
      <w:u w:val="single"/>
    </w:rPr>
  </w:style>
  <w:style w:type="paragraph" w:customStyle="1" w:styleId="207">
    <w:name w:val="纯文本1"/>
    <w:basedOn w:val="1"/>
    <w:qFormat/>
    <w:uiPriority w:val="0"/>
    <w:rPr>
      <w:rFonts w:hint="eastAsia" w:ascii="宋体" w:hAnsi="Courier New" w:eastAsia="楷体_GB2312"/>
      <w:sz w:val="28"/>
    </w:rPr>
  </w:style>
  <w:style w:type="paragraph" w:customStyle="1" w:styleId="208">
    <w:name w:val="Table Text"/>
    <w:basedOn w:val="1"/>
    <w:semiHidden/>
    <w:qFormat/>
    <w:uiPriority w:val="0"/>
    <w:pPr>
      <w:widowControl/>
      <w:jc w:val="left"/>
    </w:pPr>
    <w:rPr>
      <w:rFonts w:ascii="Arial" w:hAnsi="Arial" w:eastAsia="Arial" w:cs="Arial"/>
      <w:color w:val="000000"/>
      <w:sz w:val="20"/>
      <w:lang w:eastAsia="en-US"/>
    </w:rPr>
  </w:style>
  <w:style w:type="paragraph" w:customStyle="1" w:styleId="209">
    <w:name w:val="无间隔"/>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10">
    <w:name w:val="Normal_13_0"/>
    <w:qFormat/>
    <w:uiPriority w:val="0"/>
    <w:rPr>
      <w:rFonts w:hint="default" w:ascii="黑体" w:hAnsi="黑体" w:eastAsia="黑体" w:cs="Times New Roman"/>
      <w:b/>
      <w:sz w:val="32"/>
      <w:szCs w:val="24"/>
      <w:lang w:val="en-US" w:eastAsia="zh-CN" w:bidi="ar-SA"/>
    </w:rPr>
  </w:style>
  <w:style w:type="paragraph" w:customStyle="1" w:styleId="211">
    <w:name w:val="listparagraphcxspmiddle"/>
    <w:basedOn w:val="1"/>
    <w:qFormat/>
    <w:uiPriority w:val="99"/>
    <w:pPr>
      <w:widowControl/>
      <w:spacing w:before="100" w:beforeAutospacing="1" w:after="100" w:afterAutospacing="1"/>
      <w:jc w:val="left"/>
    </w:pPr>
    <w:rPr>
      <w:rFonts w:ascii="宋体" w:hAnsi="宋体" w:cs="宋体"/>
      <w:sz w:val="24"/>
      <w:szCs w:val="24"/>
    </w:rPr>
  </w:style>
  <w:style w:type="table" w:customStyle="1" w:styleId="212">
    <w:name w:val="Table Normal"/>
    <w:qFormat/>
    <w:uiPriority w:val="0"/>
    <w:rPr>
      <w:rFonts w:eastAsia="Arial Unicode MS"/>
      <w:lang w:val="en-US" w:eastAsia="zh-CN" w:bidi="ar-SA"/>
    </w:rPr>
  </w:style>
  <w:style w:type="paragraph" w:customStyle="1" w:styleId="213">
    <w:name w:val="表格"/>
    <w:basedOn w:val="1"/>
    <w:qFormat/>
    <w:uiPriority w:val="0"/>
    <w:pPr>
      <w:jc w:val="center"/>
    </w:pPr>
    <w:rPr>
      <w:rFonts w:ascii="华文细黑" w:hAnsi="华文细黑"/>
      <w:szCs w:val="22"/>
    </w:rPr>
  </w:style>
  <w:style w:type="character" w:customStyle="1" w:styleId="214">
    <w:name w:val="font51"/>
    <w:link w:val="1"/>
    <w:qFormat/>
    <w:uiPriority w:val="0"/>
    <w:rPr>
      <w:rFonts w:ascii="Calibri" w:hAnsi="Calibri" w:cs="Calibri"/>
      <w:color w:val="000000"/>
      <w:sz w:val="20"/>
      <w:szCs w:val="20"/>
      <w:u w:val="none"/>
    </w:rPr>
  </w:style>
  <w:style w:type="character" w:customStyle="1" w:styleId="215">
    <w:name w:val="font131"/>
    <w:link w:val="1"/>
    <w:qFormat/>
    <w:uiPriority w:val="0"/>
    <w:rPr>
      <w:rFonts w:hint="eastAsia" w:ascii="宋体" w:hAnsi="宋体" w:eastAsia="宋体" w:cs="宋体"/>
      <w:color w:val="000000"/>
      <w:sz w:val="20"/>
      <w:szCs w:val="20"/>
      <w:u w:val="none"/>
    </w:rPr>
  </w:style>
  <w:style w:type="character" w:customStyle="1" w:styleId="216">
    <w:name w:val="font141"/>
    <w:link w:val="1"/>
    <w:qFormat/>
    <w:uiPriority w:val="0"/>
    <w:rPr>
      <w:rFonts w:hint="eastAsia" w:ascii="宋体" w:hAnsi="宋体" w:eastAsia="宋体" w:cs="宋体"/>
      <w:color w:val="000000"/>
      <w:sz w:val="20"/>
      <w:szCs w:val="20"/>
      <w:u w:val="none"/>
    </w:rPr>
  </w:style>
  <w:style w:type="character" w:customStyle="1" w:styleId="217">
    <w:name w:val="font41"/>
    <w:basedOn w:val="187"/>
    <w:link w:val="1"/>
    <w:qFormat/>
    <w:uiPriority w:val="0"/>
    <w:rPr>
      <w:rFonts w:ascii="Times New Roman" w:hAnsi="Times New Roman" w:cs="Times New Roman"/>
      <w:color w:val="000000"/>
      <w:sz w:val="21"/>
      <w:szCs w:val="21"/>
      <w:u w:val="none"/>
    </w:rPr>
  </w:style>
  <w:style w:type="character" w:customStyle="1" w:styleId="218">
    <w:name w:val="font171"/>
    <w:basedOn w:val="187"/>
    <w:link w:val="1"/>
    <w:qFormat/>
    <w:uiPriority w:val="0"/>
    <w:rPr>
      <w:rFonts w:hint="eastAsia" w:ascii="宋体" w:hAnsi="宋体" w:eastAsia="宋体" w:cs="宋体"/>
      <w:color w:val="000000"/>
      <w:sz w:val="21"/>
      <w:szCs w:val="21"/>
      <w:u w:val="none"/>
    </w:rPr>
  </w:style>
  <w:style w:type="character" w:customStyle="1" w:styleId="219">
    <w:name w:val="font31"/>
    <w:basedOn w:val="187"/>
    <w:link w:val="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51</Pages>
  <Words>20723</Words>
  <Characters>21804</Characters>
  <TotalTime>1</TotalTime>
  <ScaleCrop>false</ScaleCrop>
  <LinksUpToDate>false</LinksUpToDate>
  <CharactersWithSpaces>22115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dc:creator>
  <cp:lastModifiedBy>administrator</cp:lastModifiedBy>
  <dcterms:modified xsi:type="dcterms:W3CDTF">2026-07-09T05:50:05Z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eyJoZGlkIjoiNzI1MzljODBiNDliMzEyMzFlZWNlN2EzYjU0N2YzMWEiLCJ1c2VySWQiOiI2OTgwMzc5NzEifQ==</vt:lpwstr>
  </property>
  <property fmtid="{D5CDD505-2E9C-101B-9397-08002B2CF9AE}" pid="3" name="KSOProductBuildVer">
    <vt:lpwstr>2052-12.1.0.26895</vt:lpwstr>
  </property>
  <property fmtid="{D5CDD505-2E9C-101B-9397-08002B2CF9AE}" pid="4" name="ICV">
    <vt:lpwstr>7BEA362CC4CD4062873B7370D6C7BE3A_12</vt:lpwstr>
  </property>
</Properties>
</file>